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hart17.xml" ContentType="application/vnd.openxmlformats-officedocument.drawingml.chart+xml"/>
  <Override PartName="/word/charts/chart20.xml" ContentType="application/vnd.openxmlformats-officedocument.drawingml.chart+xml"/>
  <Override PartName="/word/charts/colors17.xml" ContentType="application/vnd.ms-office.chartcolorstyle+xml"/>
  <Override PartName="/word/charts/style17.xml" ContentType="application/vnd.ms-office.chartstyle+xml"/>
  <Override PartName="/word/charts/colors20.xml" ContentType="application/vnd.ms-office.chartcolorstyle+xml"/>
  <Override PartName="/word/charts/style20.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677B4" w14:textId="74024FAC" w:rsidR="00D602E7" w:rsidRDefault="00D602E7" w:rsidP="0017188D"/>
    <w:sdt>
      <w:sdtPr>
        <w:rPr>
          <w:rFonts w:ascii="Times New Roman" w:hAnsi="Times New Roman" w:cs="Times New Roman"/>
        </w:rPr>
        <w:id w:val="-281960371"/>
        <w:docPartObj>
          <w:docPartGallery w:val="Cover Pages"/>
          <w:docPartUnique/>
        </w:docPartObj>
      </w:sdtPr>
      <w:sdtEndPr>
        <w:rPr>
          <w:b/>
          <w:bCs/>
        </w:rPr>
      </w:sdtEndPr>
      <w:sdtContent>
        <w:p w14:paraId="0ECCC140" w14:textId="77777777" w:rsidR="00CF20BB" w:rsidRDefault="00CF20BB" w:rsidP="00CF20BB">
          <w:pPr>
            <w:rPr>
              <w:rFonts w:ascii="Times New Roman" w:hAnsi="Times New Roman" w:cs="Times New Roman"/>
            </w:rPr>
          </w:pPr>
          <w:r>
            <w:rPr>
              <w:noProof/>
            </w:rPr>
            <mc:AlternateContent>
              <mc:Choice Requires="wps">
                <w:drawing>
                  <wp:anchor distT="0" distB="0" distL="114300" distR="114300" simplePos="0" relativeHeight="251674624" behindDoc="0" locked="0" layoutInCell="1" allowOverlap="1" wp14:anchorId="00072B2E" wp14:editId="2E103EE8">
                    <wp:simplePos x="0" y="0"/>
                    <wp:positionH relativeFrom="column">
                      <wp:posOffset>747395</wp:posOffset>
                    </wp:positionH>
                    <wp:positionV relativeFrom="paragraph">
                      <wp:posOffset>1383030</wp:posOffset>
                    </wp:positionV>
                    <wp:extent cx="4591050" cy="869950"/>
                    <wp:effectExtent l="0" t="0" r="19050" b="254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1050" cy="869950"/>
                            </a:xfrm>
                            <a:prstGeom prst="rect">
                              <a:avLst/>
                            </a:prstGeom>
                            <a:solidFill>
                              <a:schemeClr val="lt1"/>
                            </a:solidFill>
                            <a:ln w="6350">
                              <a:solidFill>
                                <a:prstClr val="black"/>
                              </a:solidFill>
                            </a:ln>
                          </wps:spPr>
                          <wps:txbx>
                            <w:txbxContent>
                              <w:p w14:paraId="08017656" w14:textId="767F2D8E" w:rsidR="00CF20BB" w:rsidRDefault="007F3429" w:rsidP="00CF20BB">
                                <w:pPr>
                                  <w:jc w:val="center"/>
                                  <w:rPr>
                                    <w:b/>
                                    <w:bCs/>
                                    <w:lang w:val="en-US"/>
                                  </w:rPr>
                                </w:pPr>
                                <w:r>
                                  <w:rPr>
                                    <w:b/>
                                    <w:bCs/>
                                    <w:lang w:val="en-US"/>
                                  </w:rPr>
                                  <w:t>Diana Shipping</w:t>
                                </w:r>
                                <w:r w:rsidR="00CF20BB">
                                  <w:rPr>
                                    <w:b/>
                                    <w:bCs/>
                                    <w:lang w:val="en-US"/>
                                  </w:rPr>
                                  <w:t xml:space="preserve"> (</w:t>
                                </w:r>
                                <w:r>
                                  <w:rPr>
                                    <w:b/>
                                    <w:bCs/>
                                    <w:lang w:val="en-US"/>
                                  </w:rPr>
                                  <w:t>DSX</w:t>
                                </w:r>
                                <w:r w:rsidR="00CF20BB">
                                  <w:rPr>
                                    <w:b/>
                                    <w:bCs/>
                                    <w:lang w:val="en-US"/>
                                  </w:rPr>
                                  <w:t>)</w:t>
                                </w:r>
                              </w:p>
                              <w:p w14:paraId="3B2569DB" w14:textId="77777777" w:rsidR="00CF20BB" w:rsidRDefault="00CF20BB" w:rsidP="00CF20BB">
                                <w:pPr>
                                  <w:jc w:val="center"/>
                                  <w:rPr>
                                    <w:b/>
                                    <w:bCs/>
                                    <w:lang w:val="en-US"/>
                                  </w:rPr>
                                </w:pPr>
                                <w:r>
                                  <w:rPr>
                                    <w:b/>
                                    <w:bCs/>
                                    <w:lang w:val="en-US"/>
                                  </w:rPr>
                                  <w:t>Surbhi Gupta &amp; Kevin Aherne</w:t>
                                </w:r>
                              </w:p>
                              <w:p w14:paraId="255ABB45" w14:textId="77777777" w:rsidR="00CF20BB" w:rsidRDefault="00000000" w:rsidP="00CF20BB">
                                <w:pPr>
                                  <w:jc w:val="center"/>
                                  <w:rPr>
                                    <w:b/>
                                    <w:bCs/>
                                    <w:lang w:val="en-US"/>
                                  </w:rPr>
                                </w:pPr>
                                <w:hyperlink r:id="rId8" w:history="1">
                                  <w:r w:rsidR="00CF20BB" w:rsidRPr="00107873">
                                    <w:rPr>
                                      <w:rStyle w:val="Hyperlink"/>
                                      <w:b/>
                                      <w:bCs/>
                                      <w:lang w:val="en-US"/>
                                    </w:rPr>
                                    <w:t>Kevin.aherne1@ucdconnect.ie</w:t>
                                  </w:r>
                                </w:hyperlink>
                                <w:r w:rsidR="00CF20BB">
                                  <w:rPr>
                                    <w:b/>
                                    <w:bCs/>
                                    <w:lang w:val="en-US"/>
                                  </w:rPr>
                                  <w:t xml:space="preserve">          </w:t>
                                </w:r>
                                <w:hyperlink r:id="rId9" w:history="1">
                                  <w:r w:rsidR="00CF20BB" w:rsidRPr="00FD5B5A">
                                    <w:rPr>
                                      <w:rStyle w:val="Hyperlink"/>
                                      <w:b/>
                                      <w:bCs/>
                                      <w:lang w:val="en-US"/>
                                    </w:rPr>
                                    <w:t>Surbhi.gupta1@ucdconnect.ie</w:t>
                                  </w:r>
                                </w:hyperlink>
                                <w:r w:rsidR="00CF20BB">
                                  <w:rPr>
                                    <w:b/>
                                    <w:bCs/>
                                    <w:lang w:val="en-US"/>
                                  </w:rPr>
                                  <w:t xml:space="preserve"> </w:t>
                                </w:r>
                              </w:p>
                              <w:p w14:paraId="24CF0F33" w14:textId="77777777" w:rsidR="00CF20BB" w:rsidRDefault="00CF20BB" w:rsidP="00CF20BB">
                                <w:pPr>
                                  <w:jc w:val="center"/>
                                  <w:rPr>
                                    <w:b/>
                                    <w:bCs/>
                                    <w:lang w:val="en-US"/>
                                  </w:rPr>
                                </w:pPr>
                              </w:p>
                              <w:p w14:paraId="3686D5CB" w14:textId="77777777" w:rsidR="00CF20BB" w:rsidRPr="00EF2E8A" w:rsidRDefault="00CF20BB" w:rsidP="00CF20BB">
                                <w:pPr>
                                  <w:jc w:val="center"/>
                                  <w:rPr>
                                    <w:b/>
                                    <w:bCs/>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0072B2E" id="_x0000_t202" coordsize="21600,21600" o:spt="202" path="m,l,21600r21600,l21600,xe">
                    <v:stroke joinstyle="miter"/>
                    <v:path gradientshapeok="t" o:connecttype="rect"/>
                  </v:shapetype>
                  <v:shape id="Text Box 17" o:spid="_x0000_s1026" type="#_x0000_t202" style="position:absolute;margin-left:58.85pt;margin-top:108.9pt;width:361.5pt;height:6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2o5bPgIAAJUEAAAOAAAAZHJzL2Uyb0RvYy54bWysVE2P2jAQvVfqf7B8LyEU6BIRVpQVVSW0&#13;&#10;uxJb7dk4NkTreFzbkNBf37ETPrr0VPXijD3j55k3bzK9bypFDsK6EnRO016fEqE5FKXe5vTHy/LT&#13;&#10;HSXOM10wBVrk9CgcvZ99/DCtTSYGsANVCEsQRLusNjndeW+yJHF8JyrmemCERqcEWzGPW7tNCstq&#13;&#10;RK9UMuj3x0kNtjAWuHAOTx9aJ51FfCkF909SOuGJyinm5uNq47oJazKbsmxrmdmVvEuD/UMWFSs1&#13;&#10;PnqGemCekb0tb6CqkltwIH2PQ5WAlCUXsQasJu2/q2a9Y0bEWpAcZ840uf8Hyx8Pa/NsiW++QoMN&#13;&#10;jEU4swL+5pCbpDYu62ICpy5zGB0KbaStwhdLIHgRuT2e+RSNJxwPh6NJ2h+hi6PvbjyZoB1AL7eN&#13;&#10;df6bgIoEI6cW+xUzYIeV823oKSQ85kCVxbJUKm6CRsRCWXJg2F3l0w78jyilSZ3T8Wd8+gYhQJ/v&#13;&#10;bxTjb7cImKzSHRFt7YEF32waTC+YGyiOSKCFVlvO8GWJuCvm/DOzKCasHwfEP+EiFWAy0FmU7MD+&#13;&#10;+tt5iMceo5eSGsWZU/dzz6ygRH3X2P1JOhwGNcfNcPRlgBt77dlce/S+WgAylOIoGh7NEO/VyZQW&#13;&#10;qleco3l4FV1Mc3w7p/5kLnw7MjiHXMznMQj1a5hf6bXhJ90EPl+aV2ZN10+PSniEk4xZ9q6tbWxo&#13;&#10;i4b53oMsY88vrHa8o/ajaro5DcN1vY9Rl7/J7DcAAAD//wMAUEsDBBQABgAIAAAAIQB8vGXP5QAA&#13;&#10;ABABAAAPAAAAZHJzL2Rvd25yZXYueG1sTE/LasMwELwX+g9iC701stOkNo7lEPqAQvEhTktzVCzZ&#13;&#10;MrFWxlIS9++7ObWXhdmdnUe+nmzPznr0nUMB8SwCprF2qsNWwOfu7SEF5oNEJXuHWsCP9rAubm9y&#13;&#10;mSl3wa0+V6FlJII+kwJMCEPGua+NttLP3KCRbo0brQwEx5arUV5I3PZ8HkVP3MoOycHIQT8bXR+r&#13;&#10;kxWgmmZ3XJr3Zvvx3ey/ytdys69KIe7vppcVjc0KWNBT+PuAawfKDwUFO7gTKs96wnGSEFXAPE6o&#13;&#10;CDHSRUSbg4DH5SIFXuT8f5HiFwAA//8DAFBLAQItABQABgAIAAAAIQC2gziS/gAAAOEBAAATAAAA&#13;&#10;AAAAAAAAAAAAAAAAAABbQ29udGVudF9UeXBlc10ueG1sUEsBAi0AFAAGAAgAAAAhADj9If/WAAAA&#13;&#10;lAEAAAsAAAAAAAAAAAAAAAAALwEAAF9yZWxzLy5yZWxzUEsBAi0AFAAGAAgAAAAhAIzajls+AgAA&#13;&#10;lQQAAA4AAAAAAAAAAAAAAAAALgIAAGRycy9lMm9Eb2MueG1sUEsBAi0AFAAGAAgAAAAhAHy8Zc/l&#13;&#10;AAAAEAEAAA8AAAAAAAAAAAAAAAAAmAQAAGRycy9kb3ducmV2LnhtbFBLBQYAAAAABAAEAPMAAACq&#13;&#10;BQAAAAA=&#13;&#10;" fillcolor="white [3201]" strokeweight=".5pt">
                    <v:path arrowok="t"/>
                    <v:textbox>
                      <w:txbxContent>
                        <w:p w14:paraId="08017656" w14:textId="767F2D8E" w:rsidR="00CF20BB" w:rsidRDefault="007F3429" w:rsidP="00CF20BB">
                          <w:pPr>
                            <w:jc w:val="center"/>
                            <w:rPr>
                              <w:b/>
                              <w:bCs/>
                              <w:lang w:val="en-US"/>
                            </w:rPr>
                          </w:pPr>
                          <w:r>
                            <w:rPr>
                              <w:b/>
                              <w:bCs/>
                              <w:lang w:val="en-US"/>
                            </w:rPr>
                            <w:t>Diana Shipping</w:t>
                          </w:r>
                          <w:r w:rsidR="00CF20BB">
                            <w:rPr>
                              <w:b/>
                              <w:bCs/>
                              <w:lang w:val="en-US"/>
                            </w:rPr>
                            <w:t xml:space="preserve"> (</w:t>
                          </w:r>
                          <w:r>
                            <w:rPr>
                              <w:b/>
                              <w:bCs/>
                              <w:lang w:val="en-US"/>
                            </w:rPr>
                            <w:t>DSX</w:t>
                          </w:r>
                          <w:r w:rsidR="00CF20BB">
                            <w:rPr>
                              <w:b/>
                              <w:bCs/>
                              <w:lang w:val="en-US"/>
                            </w:rPr>
                            <w:t>)</w:t>
                          </w:r>
                        </w:p>
                        <w:p w14:paraId="3B2569DB" w14:textId="77777777" w:rsidR="00CF20BB" w:rsidRDefault="00CF20BB" w:rsidP="00CF20BB">
                          <w:pPr>
                            <w:jc w:val="center"/>
                            <w:rPr>
                              <w:b/>
                              <w:bCs/>
                              <w:lang w:val="en-US"/>
                            </w:rPr>
                          </w:pPr>
                          <w:r>
                            <w:rPr>
                              <w:b/>
                              <w:bCs/>
                              <w:lang w:val="en-US"/>
                            </w:rPr>
                            <w:t>Surbhi Gupta &amp; Kevin Aherne</w:t>
                          </w:r>
                        </w:p>
                        <w:p w14:paraId="255ABB45" w14:textId="77777777" w:rsidR="00CF20BB" w:rsidRDefault="00000000" w:rsidP="00CF20BB">
                          <w:pPr>
                            <w:jc w:val="center"/>
                            <w:rPr>
                              <w:b/>
                              <w:bCs/>
                              <w:lang w:val="en-US"/>
                            </w:rPr>
                          </w:pPr>
                          <w:hyperlink r:id="rId10" w:history="1">
                            <w:r w:rsidR="00CF20BB" w:rsidRPr="00107873">
                              <w:rPr>
                                <w:rStyle w:val="Hyperlink"/>
                                <w:b/>
                                <w:bCs/>
                                <w:lang w:val="en-US"/>
                              </w:rPr>
                              <w:t>Kevin.aherne1@ucdconnect.ie</w:t>
                            </w:r>
                          </w:hyperlink>
                          <w:r w:rsidR="00CF20BB">
                            <w:rPr>
                              <w:b/>
                              <w:bCs/>
                              <w:lang w:val="en-US"/>
                            </w:rPr>
                            <w:t xml:space="preserve">          </w:t>
                          </w:r>
                          <w:hyperlink r:id="rId11" w:history="1">
                            <w:r w:rsidR="00CF20BB" w:rsidRPr="00FD5B5A">
                              <w:rPr>
                                <w:rStyle w:val="Hyperlink"/>
                                <w:b/>
                                <w:bCs/>
                                <w:lang w:val="en-US"/>
                              </w:rPr>
                              <w:t>Surbhi.gupta1@ucdconnect.ie</w:t>
                            </w:r>
                          </w:hyperlink>
                          <w:r w:rsidR="00CF20BB">
                            <w:rPr>
                              <w:b/>
                              <w:bCs/>
                              <w:lang w:val="en-US"/>
                            </w:rPr>
                            <w:t xml:space="preserve"> </w:t>
                          </w:r>
                        </w:p>
                        <w:p w14:paraId="24CF0F33" w14:textId="77777777" w:rsidR="00CF20BB" w:rsidRDefault="00CF20BB" w:rsidP="00CF20BB">
                          <w:pPr>
                            <w:jc w:val="center"/>
                            <w:rPr>
                              <w:b/>
                              <w:bCs/>
                              <w:lang w:val="en-US"/>
                            </w:rPr>
                          </w:pPr>
                        </w:p>
                        <w:p w14:paraId="3686D5CB" w14:textId="77777777" w:rsidR="00CF20BB" w:rsidRPr="00EF2E8A" w:rsidRDefault="00CF20BB" w:rsidP="00CF20BB">
                          <w:pPr>
                            <w:jc w:val="center"/>
                            <w:rPr>
                              <w:b/>
                              <w:bCs/>
                              <w:lang w:val="en-US"/>
                            </w:rPr>
                          </w:pPr>
                        </w:p>
                      </w:txbxContent>
                    </v:textbox>
                  </v:shape>
                </w:pict>
              </mc:Fallback>
            </mc:AlternateContent>
          </w:r>
          <w:r>
            <w:rPr>
              <w:noProof/>
              <w:sz w:val="20"/>
            </w:rPr>
            <w:drawing>
              <wp:inline distT="0" distB="0" distL="0" distR="0" wp14:anchorId="404A10CA" wp14:editId="7472F9EF">
                <wp:extent cx="3269236" cy="1162050"/>
                <wp:effectExtent l="0" t="0" r="7620" b="0"/>
                <wp:docPr id="19" name="image1.jpeg" descr="Graphical user interface, applica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3281138" cy="1166281"/>
                        </a:xfrm>
                        <a:prstGeom prst="rect">
                          <a:avLst/>
                        </a:prstGeom>
                      </pic:spPr>
                    </pic:pic>
                  </a:graphicData>
                </a:graphic>
              </wp:inline>
            </w:drawing>
          </w:r>
          <w:r>
            <w:rPr>
              <w:noProof/>
              <w:position w:val="33"/>
              <w:sz w:val="20"/>
            </w:rPr>
            <w:drawing>
              <wp:inline distT="0" distB="0" distL="0" distR="0" wp14:anchorId="79EB3CE2" wp14:editId="508B9C11">
                <wp:extent cx="2384681" cy="1173861"/>
                <wp:effectExtent l="0" t="0" r="0" b="0"/>
                <wp:docPr id="44" name="image2.png" descr="A picture containing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2384681" cy="1173861"/>
                        </a:xfrm>
                        <a:prstGeom prst="rect">
                          <a:avLst/>
                        </a:prstGeom>
                      </pic:spPr>
                    </pic:pic>
                  </a:graphicData>
                </a:graphic>
              </wp:inline>
            </w:drawing>
          </w:r>
        </w:p>
        <w:p w14:paraId="601E7237" w14:textId="77777777" w:rsidR="00CF20BB" w:rsidRPr="0051128F" w:rsidRDefault="00CF20BB" w:rsidP="00CF20BB">
          <w:pPr>
            <w:rPr>
              <w:rFonts w:ascii="Times New Roman" w:hAnsi="Times New Roman" w:cs="Times New Roman"/>
            </w:rPr>
          </w:pPr>
        </w:p>
        <w:p w14:paraId="0B108A24" w14:textId="77777777" w:rsidR="00CF20BB" w:rsidRPr="0051128F" w:rsidRDefault="00CF20BB" w:rsidP="00CF20BB">
          <w:pPr>
            <w:rPr>
              <w:rFonts w:ascii="Times New Roman" w:hAnsi="Times New Roman" w:cs="Times New Roman"/>
            </w:rPr>
          </w:pPr>
        </w:p>
        <w:p w14:paraId="1490389C" w14:textId="77777777" w:rsidR="00CF20BB" w:rsidRPr="0051128F" w:rsidRDefault="00CF20BB" w:rsidP="00CF20BB">
          <w:pPr>
            <w:rPr>
              <w:rFonts w:ascii="Times New Roman" w:hAnsi="Times New Roman" w:cs="Times New Roman"/>
            </w:rPr>
          </w:pPr>
        </w:p>
        <w:p w14:paraId="7BD86E9E" w14:textId="77777777" w:rsidR="00CF20BB" w:rsidRDefault="00CF20BB" w:rsidP="00CF20BB">
          <w:pPr>
            <w:rPr>
              <w:rFonts w:ascii="Times New Roman" w:hAnsi="Times New Roman" w:cs="Times New Roman"/>
            </w:rPr>
          </w:pPr>
        </w:p>
        <w:p w14:paraId="63C5AFEC" w14:textId="064DF425" w:rsidR="003B0593" w:rsidRDefault="00404BA8" w:rsidP="003B0593">
          <w:pPr>
            <w:rPr>
              <w:rFonts w:ascii="Times New Roman" w:hAnsi="Times New Roman" w:cs="Times New Roman"/>
              <w:b/>
              <w:bCs/>
            </w:rPr>
          </w:pPr>
          <w:r>
            <w:rPr>
              <w:noProof/>
            </w:rPr>
            <mc:AlternateContent>
              <mc:Choice Requires="wps">
                <w:drawing>
                  <wp:anchor distT="0" distB="0" distL="114300" distR="114300" simplePos="0" relativeHeight="251675648" behindDoc="0" locked="0" layoutInCell="1" allowOverlap="1" wp14:anchorId="07E1627E" wp14:editId="65B4F11F">
                    <wp:simplePos x="0" y="0"/>
                    <wp:positionH relativeFrom="column">
                      <wp:posOffset>-625151</wp:posOffset>
                    </wp:positionH>
                    <wp:positionV relativeFrom="paragraph">
                      <wp:posOffset>206790</wp:posOffset>
                    </wp:positionV>
                    <wp:extent cx="3662913" cy="6972300"/>
                    <wp:effectExtent l="0" t="0" r="7620" b="1270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2913" cy="6972300"/>
                            </a:xfrm>
                            <a:prstGeom prst="rect">
                              <a:avLst/>
                            </a:prstGeom>
                            <a:solidFill>
                              <a:schemeClr val="accent5">
                                <a:lumMod val="60000"/>
                                <a:lumOff val="40000"/>
                              </a:schemeClr>
                            </a:solidFill>
                            <a:ln w="6350">
                              <a:solidFill>
                                <a:prstClr val="black"/>
                              </a:solidFill>
                            </a:ln>
                          </wps:spPr>
                          <wps:txbx>
                            <w:txbxContent>
                              <w:p w14:paraId="125524F3" w14:textId="52F4FDD9" w:rsidR="00CF20BB" w:rsidRPr="00011F29" w:rsidRDefault="00CF20BB" w:rsidP="00CF20BB">
                                <w:pPr>
                                  <w:jc w:val="center"/>
                                  <w:rPr>
                                    <w:b/>
                                    <w:bCs/>
                                    <w:lang w:val="en-US"/>
                                  </w:rPr>
                                </w:pPr>
                                <w:r w:rsidRPr="00011F29">
                                  <w:rPr>
                                    <w:b/>
                                    <w:bCs/>
                                    <w:lang w:val="en-US"/>
                                  </w:rPr>
                                  <w:t xml:space="preserve">RECOMMENDATION: </w:t>
                                </w:r>
                                <w:r>
                                  <w:rPr>
                                    <w:b/>
                                    <w:bCs/>
                                    <w:lang w:val="en-US"/>
                                  </w:rPr>
                                  <w:t>SELL</w:t>
                                </w:r>
                                <w:r w:rsidR="0057293C">
                                  <w:rPr>
                                    <w:b/>
                                    <w:bCs/>
                                    <w:lang w:val="en-US"/>
                                  </w:rPr>
                                  <w:t>/HOLD</w:t>
                                </w:r>
                              </w:p>
                              <w:p w14:paraId="67774708" w14:textId="7C520B29" w:rsidR="00CF20BB" w:rsidRDefault="00CF20BB" w:rsidP="00CF20BB">
                                <w:pPr>
                                  <w:jc w:val="center"/>
                                  <w:rPr>
                                    <w:b/>
                                    <w:bCs/>
                                    <w:lang w:val="en-US"/>
                                  </w:rPr>
                                </w:pPr>
                                <w:r w:rsidRPr="00011F29">
                                  <w:rPr>
                                    <w:b/>
                                    <w:bCs/>
                                    <w:lang w:val="en-US"/>
                                  </w:rPr>
                                  <w:t xml:space="preserve">Recommendation Date: </w:t>
                                </w:r>
                                <w:r w:rsidR="0014017D">
                                  <w:rPr>
                                    <w:b/>
                                    <w:bCs/>
                                    <w:lang w:val="en-US"/>
                                  </w:rPr>
                                  <w:t>2</w:t>
                                </w:r>
                                <w:r w:rsidR="0014017D" w:rsidRPr="0014017D">
                                  <w:rPr>
                                    <w:b/>
                                    <w:bCs/>
                                    <w:vertAlign w:val="superscript"/>
                                    <w:lang w:val="en-US"/>
                                  </w:rPr>
                                  <w:t>nd</w:t>
                                </w:r>
                                <w:r w:rsidR="0014017D">
                                  <w:rPr>
                                    <w:b/>
                                    <w:bCs/>
                                    <w:lang w:val="en-US"/>
                                  </w:rPr>
                                  <w:t xml:space="preserve"> December</w:t>
                                </w:r>
                                <w:r w:rsidRPr="00011F29">
                                  <w:rPr>
                                    <w:b/>
                                    <w:bCs/>
                                    <w:lang w:val="en-US"/>
                                  </w:rPr>
                                  <w:t xml:space="preserve"> 2022</w:t>
                                </w:r>
                              </w:p>
                              <w:p w14:paraId="65ECE60E" w14:textId="77777777" w:rsidR="00CF20BB" w:rsidRPr="00011F29" w:rsidRDefault="00CF20BB" w:rsidP="00CF20BB">
                                <w:pPr>
                                  <w:jc w:val="center"/>
                                  <w:rPr>
                                    <w:b/>
                                    <w:bCs/>
                                    <w:lang w:val="en-US"/>
                                  </w:rPr>
                                </w:pPr>
                                <w:r w:rsidRPr="00011F29">
                                  <w:rPr>
                                    <w:b/>
                                    <w:bCs/>
                                    <w:noProof/>
                                    <w:lang w:val="en-US"/>
                                  </w:rPr>
                                  <w:drawing>
                                    <wp:inline distT="0" distB="0" distL="0" distR="0" wp14:anchorId="675AAA8D" wp14:editId="1C4DE0A8">
                                      <wp:extent cx="18601423" cy="6286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289468" cy="95607"/>
                                              </a:xfrm>
                                              <a:prstGeom prst="rect">
                                                <a:avLst/>
                                              </a:prstGeom>
                                              <a:noFill/>
                                              <a:ln>
                                                <a:noFill/>
                                              </a:ln>
                                            </pic:spPr>
                                          </pic:pic>
                                        </a:graphicData>
                                      </a:graphic>
                                    </wp:inline>
                                  </w:drawing>
                                </w:r>
                              </w:p>
                              <w:p w14:paraId="4C42935B" w14:textId="77777777" w:rsidR="00CF20BB" w:rsidRDefault="00CF20BB" w:rsidP="00CF20BB">
                                <w:pPr>
                                  <w:jc w:val="center"/>
                                  <w:rPr>
                                    <w:b/>
                                    <w:bCs/>
                                    <w:lang w:val="en-US"/>
                                  </w:rPr>
                                </w:pPr>
                                <w:r>
                                  <w:rPr>
                                    <w:b/>
                                    <w:bCs/>
                                    <w:lang w:val="en-US"/>
                                  </w:rPr>
                                  <w:t>COMPANY</w:t>
                                </w:r>
                                <w:r w:rsidRPr="00011F29">
                                  <w:rPr>
                                    <w:b/>
                                    <w:bCs/>
                                    <w:lang w:val="en-US"/>
                                  </w:rPr>
                                  <w:t xml:space="preserve"> OVERVIEW</w:t>
                                </w:r>
                              </w:p>
                              <w:p w14:paraId="311BF5F5" w14:textId="77777777" w:rsidR="00CF20BB" w:rsidRDefault="00CF20BB" w:rsidP="00CF20BB">
                                <w:pPr>
                                  <w:jc w:val="center"/>
                                  <w:rPr>
                                    <w:b/>
                                    <w:bCs/>
                                    <w:lang w:val="en-US"/>
                                  </w:rPr>
                                </w:pPr>
                              </w:p>
                              <w:p w14:paraId="18B78110" w14:textId="05D5C153" w:rsidR="00CF20BB" w:rsidRPr="00011F29" w:rsidRDefault="006E135E" w:rsidP="00CF20BB">
                                <w:pPr>
                                  <w:jc w:val="center"/>
                                  <w:rPr>
                                    <w:b/>
                                    <w:bCs/>
                                    <w:lang w:val="en-US"/>
                                  </w:rPr>
                                </w:pPr>
                                <w:r>
                                  <w:rPr>
                                    <w:b/>
                                    <w:bCs/>
                                    <w:lang w:val="en-US"/>
                                  </w:rPr>
                                  <w:t>Diana Shipping</w:t>
                                </w:r>
                                <w:r w:rsidR="00CF20BB">
                                  <w:rPr>
                                    <w:b/>
                                    <w:bCs/>
                                    <w:lang w:val="en-US"/>
                                  </w:rPr>
                                  <w:t xml:space="preserve"> Share Performance</w:t>
                                </w:r>
                              </w:p>
                              <w:p w14:paraId="52DEFA1C" w14:textId="2DC0206E" w:rsidR="00CF20BB" w:rsidRDefault="00CF20BB" w:rsidP="00CF20BB">
                                <w:pPr>
                                  <w:jc w:val="center"/>
                                  <w:rPr>
                                    <w:lang w:val="en-US"/>
                                  </w:rPr>
                                </w:pPr>
                              </w:p>
                              <w:p w14:paraId="4F2DDFF5" w14:textId="4BD97620" w:rsidR="00CF20BB" w:rsidRDefault="006E135E" w:rsidP="00CF20BB">
                                <w:pPr>
                                  <w:rPr>
                                    <w:lang w:val="en-US"/>
                                  </w:rPr>
                                </w:pPr>
                                <w:r>
                                  <w:rPr>
                                    <w:noProof/>
                                  </w:rPr>
                                  <w:drawing>
                                    <wp:inline distT="0" distB="0" distL="0" distR="0" wp14:anchorId="70958E7A" wp14:editId="7BC54125">
                                      <wp:extent cx="3576320" cy="2145665"/>
                                      <wp:effectExtent l="0" t="0" r="5080" b="6985"/>
                                      <wp:docPr id="1" name="Chart 1">
                                        <a:extLst xmlns:a="http://schemas.openxmlformats.org/drawingml/2006/main">
                                          <a:ext uri="{FF2B5EF4-FFF2-40B4-BE49-F238E27FC236}">
                                            <a16:creationId xmlns:a16="http://schemas.microsoft.com/office/drawing/2014/main" id="{DB92A236-D601-4A2E-A77F-E41B815346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DF5A767" w14:textId="3D55220C" w:rsidR="00CF20BB" w:rsidRDefault="000B792A" w:rsidP="00CF20BB">
                                <w:pPr>
                                  <w:jc w:val="center"/>
                                  <w:rPr>
                                    <w:b/>
                                    <w:bCs/>
                                    <w:lang w:val="en-US"/>
                                  </w:rPr>
                                </w:pPr>
                                <w:r>
                                  <w:rPr>
                                    <w:b/>
                                    <w:bCs/>
                                    <w:lang w:val="en-US"/>
                                  </w:rPr>
                                  <w:t>Source: Refinitiv Eikon</w:t>
                                </w:r>
                              </w:p>
                              <w:p w14:paraId="4423D563" w14:textId="77777777" w:rsidR="00CF20BB" w:rsidRDefault="00CF20BB" w:rsidP="00CF20BB">
                                <w:pPr>
                                  <w:rPr>
                                    <w:b/>
                                    <w:bCs/>
                                    <w:lang w:val="en-US"/>
                                  </w:rPr>
                                </w:pPr>
                              </w:p>
                              <w:p w14:paraId="6F4FA3BD" w14:textId="2FE8E259" w:rsidR="00CF20BB" w:rsidRDefault="009F6B09" w:rsidP="00CF20BB">
                                <w:pPr>
                                  <w:jc w:val="center"/>
                                  <w:rPr>
                                    <w:b/>
                                    <w:bCs/>
                                    <w:lang w:val="en-US"/>
                                  </w:rPr>
                                </w:pPr>
                                <w:r>
                                  <w:rPr>
                                    <w:b/>
                                    <w:bCs/>
                                    <w:lang w:val="en-US"/>
                                  </w:rPr>
                                  <w:t xml:space="preserve">5 year </w:t>
                                </w:r>
                                <w:r w:rsidR="00C1390F" w:rsidRPr="00C1390F">
                                  <w:rPr>
                                    <w:b/>
                                    <w:bCs/>
                                    <w:lang w:val="en-US"/>
                                  </w:rPr>
                                  <w:t>Rolling Beta</w:t>
                                </w:r>
                              </w:p>
                              <w:p w14:paraId="1E8D9524" w14:textId="389F42C5" w:rsidR="00C1390F" w:rsidRDefault="00C1390F" w:rsidP="00CF20BB">
                                <w:pPr>
                                  <w:jc w:val="center"/>
                                  <w:rPr>
                                    <w:b/>
                                    <w:bCs/>
                                    <w:lang w:val="en-US"/>
                                  </w:rPr>
                                </w:pPr>
                              </w:p>
                              <w:p w14:paraId="50D15E5A" w14:textId="5239914D" w:rsidR="00C1390F" w:rsidRPr="00C1390F" w:rsidRDefault="0014017D" w:rsidP="00CF20BB">
                                <w:pPr>
                                  <w:jc w:val="center"/>
                                  <w:rPr>
                                    <w:b/>
                                    <w:bCs/>
                                    <w:lang w:val="en-US"/>
                                  </w:rPr>
                                </w:pPr>
                                <w:r>
                                  <w:rPr>
                                    <w:noProof/>
                                  </w:rPr>
                                  <w:drawing>
                                    <wp:inline distT="0" distB="0" distL="0" distR="0" wp14:anchorId="058823FF" wp14:editId="014C9290">
                                      <wp:extent cx="3576320" cy="2145792"/>
                                      <wp:effectExtent l="0" t="0" r="5080" b="6985"/>
                                      <wp:docPr id="25" name="Chart 25">
                                        <a:extLst xmlns:a="http://schemas.openxmlformats.org/drawingml/2006/main">
                                          <a:ext uri="{FF2B5EF4-FFF2-40B4-BE49-F238E27FC236}">
                                            <a16:creationId xmlns:a16="http://schemas.microsoft.com/office/drawing/2014/main" id="{71390ADF-7901-4871-AE4C-F7C91671DD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7E1627E" id="_x0000_t202" coordsize="21600,21600" o:spt="202" path="m,l,21600r21600,l21600,xe">
                    <v:stroke joinstyle="miter"/>
                    <v:path gradientshapeok="t" o:connecttype="rect"/>
                  </v:shapetype>
                  <v:shape id="Text Box 18" o:spid="_x0000_s1027" type="#_x0000_t202" style="position:absolute;margin-left:-49.2pt;margin-top:16.3pt;width:288.4pt;height:54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fUwcZwIAANwEAAAOAAAAZHJzL2Uyb0RvYy54bWysVFtv2jAUfp+0/2D5fSRcOyJCxaiYJrG2&#13;&#10;Ep36bByHRHV8PNuQdL9+x04CtNvTNB6Mz8Xn8p3vZHHbVJKchLElqJQOBzElQnHISnVI6Y+nzafP&#13;&#10;lFjHVMYkKJHSV2Hp7fLjh0WtEzGCAmQmDMEgyia1TmnhnE6iyPJCVMwOQAuFxhxMxRyK5hBlhtUY&#13;&#10;vZLRKI5nUQ0m0wa4sBa1d62RLkP8PBfcPeS5FY7IlGJtLpwmnHt/RssFSw6G6aLkXRnsH6qoWKkw&#13;&#10;6TnUHXOMHE35R6iq5AYs5G7AoYogz0suQg/YzTB+182uYFqEXhAcq88w2f8Xlt+fdvrRENd8gQYH&#13;&#10;GJqwegv8xSI2Ua1t0vl4TG1i0ds32uSm8v/YAsGHiO3rGU/ROMJROZ7NRvPhmBKOttn8ZjSOA+LR&#13;&#10;5bk21n0VUBF/SanBgYUS2GlrnS+AJb2Lz2ZBltmmlDIIniRiLQ05MRwv41woNw3P5bH6Dlmrn8X4&#13;&#10;aweNaqRDq570akwR6OYjhYRvkkhFaix+PI1D4Dc2X9k5/V4y/uLT+HiXMlGSqgOyxc6j6Jp9Q8rM&#13;&#10;A44vvGYP2SvOwUBLUav5psTwW2bdIzPISUQY98w94JFLwJqgu1FSgPn1N733R6qglZIaOZ5S+/PI&#13;&#10;jKBEflNIovlwMvFLEYTJ9GaEgrm27K8t6litAXEe4kZrHq7e38n+mhuonnEdVz4rmpjimDulrr+u&#13;&#10;Xbt5uM5crFbBCddAM7dVO817+nlYn5pnZnTHCoeEuod+G1jyjhytr2eEgtXRQV4G5lxQ7eDHFQrT&#13;&#10;6dbd7+i1HLwuH6XlbwAAAP//AwBQSwMEFAAGAAgAAAAhAKL1UsPlAAAAEAEAAA8AAABkcnMvZG93&#13;&#10;bnJldi54bWxMj0FPg0AQhe8m/ofNmHhrF2ilQFkao/GgjSZt9eBtCyMQ2VnCLi3+e6cnvUwyM2++&#13;&#10;eS/fTKYTJxxca0lBOA9AIJW2aqlW8H54miUgnNdU6c4SKvhBB5vi+irXWWXPtMPT3teCIeQyraDx&#13;&#10;vs+kdGWDRru57ZF492UHoz23Qy2rQZ8ZbjoZBUEsjW6JPzS6x4cGy+/9aBQsXj/b511iort0m4zh&#13;&#10;y5v5SNEodXszPa653K9BeJz83wVcMrB/KNjY0Y5UOdEpmKXJkqVMjGIQLFiuLoMjK8NFEIMscvk/&#13;&#10;SPELAAD//wMAUEsBAi0AFAAGAAgAAAAhALaDOJL+AAAA4QEAABMAAAAAAAAAAAAAAAAAAAAAAFtD&#13;&#10;b250ZW50X1R5cGVzXS54bWxQSwECLQAUAAYACAAAACEAOP0h/9YAAACUAQAACwAAAAAAAAAAAAAA&#13;&#10;AAAvAQAAX3JlbHMvLnJlbHNQSwECLQAUAAYACAAAACEA5n1MHGcCAADcBAAADgAAAAAAAAAAAAAA&#13;&#10;AAAuAgAAZHJzL2Uyb0RvYy54bWxQSwECLQAUAAYACAAAACEAovVSw+UAAAAQAQAADwAAAAAAAAAA&#13;&#10;AAAAAADBBAAAZHJzL2Rvd25yZXYueG1sUEsFBgAAAAAEAAQA8wAAANMFAAAAAA==&#13;&#10;" fillcolor="#9cc2e5 [1944]" strokeweight=".5pt">
                    <v:path arrowok="t"/>
                    <v:textbox>
                      <w:txbxContent>
                        <w:p w14:paraId="125524F3" w14:textId="52F4FDD9" w:rsidR="00CF20BB" w:rsidRPr="00011F29" w:rsidRDefault="00CF20BB" w:rsidP="00CF20BB">
                          <w:pPr>
                            <w:jc w:val="center"/>
                            <w:rPr>
                              <w:b/>
                              <w:bCs/>
                              <w:lang w:val="en-US"/>
                            </w:rPr>
                          </w:pPr>
                          <w:r w:rsidRPr="00011F29">
                            <w:rPr>
                              <w:b/>
                              <w:bCs/>
                              <w:lang w:val="en-US"/>
                            </w:rPr>
                            <w:t xml:space="preserve">RECOMMENDATION: </w:t>
                          </w:r>
                          <w:r>
                            <w:rPr>
                              <w:b/>
                              <w:bCs/>
                              <w:lang w:val="en-US"/>
                            </w:rPr>
                            <w:t>SELL</w:t>
                          </w:r>
                          <w:r w:rsidR="0057293C">
                            <w:rPr>
                              <w:b/>
                              <w:bCs/>
                              <w:lang w:val="en-US"/>
                            </w:rPr>
                            <w:t>/HOLD</w:t>
                          </w:r>
                        </w:p>
                        <w:p w14:paraId="67774708" w14:textId="7C520B29" w:rsidR="00CF20BB" w:rsidRDefault="00CF20BB" w:rsidP="00CF20BB">
                          <w:pPr>
                            <w:jc w:val="center"/>
                            <w:rPr>
                              <w:b/>
                              <w:bCs/>
                              <w:lang w:val="en-US"/>
                            </w:rPr>
                          </w:pPr>
                          <w:r w:rsidRPr="00011F29">
                            <w:rPr>
                              <w:b/>
                              <w:bCs/>
                              <w:lang w:val="en-US"/>
                            </w:rPr>
                            <w:t xml:space="preserve">Recommendation Date: </w:t>
                          </w:r>
                          <w:r w:rsidR="0014017D">
                            <w:rPr>
                              <w:b/>
                              <w:bCs/>
                              <w:lang w:val="en-US"/>
                            </w:rPr>
                            <w:t>2</w:t>
                          </w:r>
                          <w:r w:rsidR="0014017D" w:rsidRPr="0014017D">
                            <w:rPr>
                              <w:b/>
                              <w:bCs/>
                              <w:vertAlign w:val="superscript"/>
                              <w:lang w:val="en-US"/>
                            </w:rPr>
                            <w:t>nd</w:t>
                          </w:r>
                          <w:r w:rsidR="0014017D">
                            <w:rPr>
                              <w:b/>
                              <w:bCs/>
                              <w:lang w:val="en-US"/>
                            </w:rPr>
                            <w:t xml:space="preserve"> December</w:t>
                          </w:r>
                          <w:r w:rsidRPr="00011F29">
                            <w:rPr>
                              <w:b/>
                              <w:bCs/>
                              <w:lang w:val="en-US"/>
                            </w:rPr>
                            <w:t xml:space="preserve"> 2022</w:t>
                          </w:r>
                        </w:p>
                        <w:p w14:paraId="65ECE60E" w14:textId="77777777" w:rsidR="00CF20BB" w:rsidRPr="00011F29" w:rsidRDefault="00CF20BB" w:rsidP="00CF20BB">
                          <w:pPr>
                            <w:jc w:val="center"/>
                            <w:rPr>
                              <w:b/>
                              <w:bCs/>
                              <w:lang w:val="en-US"/>
                            </w:rPr>
                          </w:pPr>
                          <w:r w:rsidRPr="00011F29">
                            <w:rPr>
                              <w:b/>
                              <w:bCs/>
                              <w:noProof/>
                              <w:lang w:val="en-US"/>
                            </w:rPr>
                            <w:drawing>
                              <wp:inline distT="0" distB="0" distL="0" distR="0" wp14:anchorId="675AAA8D" wp14:editId="1C4DE0A8">
                                <wp:extent cx="18601423" cy="6286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289468" cy="95607"/>
                                        </a:xfrm>
                                        <a:prstGeom prst="rect">
                                          <a:avLst/>
                                        </a:prstGeom>
                                        <a:noFill/>
                                        <a:ln>
                                          <a:noFill/>
                                        </a:ln>
                                      </pic:spPr>
                                    </pic:pic>
                                  </a:graphicData>
                                </a:graphic>
                              </wp:inline>
                            </w:drawing>
                          </w:r>
                        </w:p>
                        <w:p w14:paraId="4C42935B" w14:textId="77777777" w:rsidR="00CF20BB" w:rsidRDefault="00CF20BB" w:rsidP="00CF20BB">
                          <w:pPr>
                            <w:jc w:val="center"/>
                            <w:rPr>
                              <w:b/>
                              <w:bCs/>
                              <w:lang w:val="en-US"/>
                            </w:rPr>
                          </w:pPr>
                          <w:r>
                            <w:rPr>
                              <w:b/>
                              <w:bCs/>
                              <w:lang w:val="en-US"/>
                            </w:rPr>
                            <w:t>COMPANY</w:t>
                          </w:r>
                          <w:r w:rsidRPr="00011F29">
                            <w:rPr>
                              <w:b/>
                              <w:bCs/>
                              <w:lang w:val="en-US"/>
                            </w:rPr>
                            <w:t xml:space="preserve"> OVERVIEW</w:t>
                          </w:r>
                        </w:p>
                        <w:p w14:paraId="311BF5F5" w14:textId="77777777" w:rsidR="00CF20BB" w:rsidRDefault="00CF20BB" w:rsidP="00CF20BB">
                          <w:pPr>
                            <w:jc w:val="center"/>
                            <w:rPr>
                              <w:b/>
                              <w:bCs/>
                              <w:lang w:val="en-US"/>
                            </w:rPr>
                          </w:pPr>
                        </w:p>
                        <w:p w14:paraId="18B78110" w14:textId="05D5C153" w:rsidR="00CF20BB" w:rsidRPr="00011F29" w:rsidRDefault="006E135E" w:rsidP="00CF20BB">
                          <w:pPr>
                            <w:jc w:val="center"/>
                            <w:rPr>
                              <w:b/>
                              <w:bCs/>
                              <w:lang w:val="en-US"/>
                            </w:rPr>
                          </w:pPr>
                          <w:r>
                            <w:rPr>
                              <w:b/>
                              <w:bCs/>
                              <w:lang w:val="en-US"/>
                            </w:rPr>
                            <w:t>Diana Shipping</w:t>
                          </w:r>
                          <w:r w:rsidR="00CF20BB">
                            <w:rPr>
                              <w:b/>
                              <w:bCs/>
                              <w:lang w:val="en-US"/>
                            </w:rPr>
                            <w:t xml:space="preserve"> Share Performance</w:t>
                          </w:r>
                        </w:p>
                        <w:p w14:paraId="52DEFA1C" w14:textId="2DC0206E" w:rsidR="00CF20BB" w:rsidRDefault="00CF20BB" w:rsidP="00CF20BB">
                          <w:pPr>
                            <w:jc w:val="center"/>
                            <w:rPr>
                              <w:lang w:val="en-US"/>
                            </w:rPr>
                          </w:pPr>
                        </w:p>
                        <w:p w14:paraId="4F2DDFF5" w14:textId="4BD97620" w:rsidR="00CF20BB" w:rsidRDefault="006E135E" w:rsidP="00CF20BB">
                          <w:pPr>
                            <w:rPr>
                              <w:lang w:val="en-US"/>
                            </w:rPr>
                          </w:pPr>
                          <w:r>
                            <w:rPr>
                              <w:noProof/>
                            </w:rPr>
                            <w:drawing>
                              <wp:inline distT="0" distB="0" distL="0" distR="0" wp14:anchorId="70958E7A" wp14:editId="7BC54125">
                                <wp:extent cx="3576320" cy="2145665"/>
                                <wp:effectExtent l="0" t="0" r="5080" b="6985"/>
                                <wp:docPr id="1" name="Chart 1">
                                  <a:extLst xmlns:a="http://schemas.openxmlformats.org/drawingml/2006/main">
                                    <a:ext uri="{FF2B5EF4-FFF2-40B4-BE49-F238E27FC236}">
                                      <a16:creationId xmlns:a16="http://schemas.microsoft.com/office/drawing/2014/main" id="{DB92A236-D601-4A2E-A77F-E41B815346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DF5A767" w14:textId="3D55220C" w:rsidR="00CF20BB" w:rsidRDefault="000B792A" w:rsidP="00CF20BB">
                          <w:pPr>
                            <w:jc w:val="center"/>
                            <w:rPr>
                              <w:b/>
                              <w:bCs/>
                              <w:lang w:val="en-US"/>
                            </w:rPr>
                          </w:pPr>
                          <w:r>
                            <w:rPr>
                              <w:b/>
                              <w:bCs/>
                              <w:lang w:val="en-US"/>
                            </w:rPr>
                            <w:t>Source: Refinitiv Eikon</w:t>
                          </w:r>
                        </w:p>
                        <w:p w14:paraId="4423D563" w14:textId="77777777" w:rsidR="00CF20BB" w:rsidRDefault="00CF20BB" w:rsidP="00CF20BB">
                          <w:pPr>
                            <w:rPr>
                              <w:b/>
                              <w:bCs/>
                              <w:lang w:val="en-US"/>
                            </w:rPr>
                          </w:pPr>
                        </w:p>
                        <w:p w14:paraId="6F4FA3BD" w14:textId="2FE8E259" w:rsidR="00CF20BB" w:rsidRDefault="009F6B09" w:rsidP="00CF20BB">
                          <w:pPr>
                            <w:jc w:val="center"/>
                            <w:rPr>
                              <w:b/>
                              <w:bCs/>
                              <w:lang w:val="en-US"/>
                            </w:rPr>
                          </w:pPr>
                          <w:r>
                            <w:rPr>
                              <w:b/>
                              <w:bCs/>
                              <w:lang w:val="en-US"/>
                            </w:rPr>
                            <w:t xml:space="preserve">5 year </w:t>
                          </w:r>
                          <w:r w:rsidR="00C1390F" w:rsidRPr="00C1390F">
                            <w:rPr>
                              <w:b/>
                              <w:bCs/>
                              <w:lang w:val="en-US"/>
                            </w:rPr>
                            <w:t>Rolling Beta</w:t>
                          </w:r>
                        </w:p>
                        <w:p w14:paraId="1E8D9524" w14:textId="389F42C5" w:rsidR="00C1390F" w:rsidRDefault="00C1390F" w:rsidP="00CF20BB">
                          <w:pPr>
                            <w:jc w:val="center"/>
                            <w:rPr>
                              <w:b/>
                              <w:bCs/>
                              <w:lang w:val="en-US"/>
                            </w:rPr>
                          </w:pPr>
                        </w:p>
                        <w:p w14:paraId="50D15E5A" w14:textId="5239914D" w:rsidR="00C1390F" w:rsidRPr="00C1390F" w:rsidRDefault="0014017D" w:rsidP="00CF20BB">
                          <w:pPr>
                            <w:jc w:val="center"/>
                            <w:rPr>
                              <w:b/>
                              <w:bCs/>
                              <w:lang w:val="en-US"/>
                            </w:rPr>
                          </w:pPr>
                          <w:r>
                            <w:rPr>
                              <w:noProof/>
                            </w:rPr>
                            <w:drawing>
                              <wp:inline distT="0" distB="0" distL="0" distR="0" wp14:anchorId="058823FF" wp14:editId="014C9290">
                                <wp:extent cx="3576320" cy="2145792"/>
                                <wp:effectExtent l="0" t="0" r="5080" b="6985"/>
                                <wp:docPr id="25" name="Chart 25">
                                  <a:extLst xmlns:a="http://schemas.openxmlformats.org/drawingml/2006/main">
                                    <a:ext uri="{FF2B5EF4-FFF2-40B4-BE49-F238E27FC236}">
                                      <a16:creationId xmlns:a16="http://schemas.microsoft.com/office/drawing/2014/main" id="{71390ADF-7901-4871-AE4C-F7C91671DD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16EF1CA8" wp14:editId="31ACB190">
                    <wp:simplePos x="0" y="0"/>
                    <wp:positionH relativeFrom="column">
                      <wp:posOffset>3034030</wp:posOffset>
                    </wp:positionH>
                    <wp:positionV relativeFrom="paragraph">
                      <wp:posOffset>209887</wp:posOffset>
                    </wp:positionV>
                    <wp:extent cx="3295650" cy="6972300"/>
                    <wp:effectExtent l="0" t="0" r="19050"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6972300"/>
                            </a:xfrm>
                            <a:prstGeom prst="rect">
                              <a:avLst/>
                            </a:prstGeom>
                            <a:solidFill>
                              <a:schemeClr val="accent6">
                                <a:lumMod val="40000"/>
                                <a:lumOff val="60000"/>
                              </a:schemeClr>
                            </a:solidFill>
                            <a:ln w="6350">
                              <a:solidFill>
                                <a:prstClr val="black"/>
                              </a:solidFill>
                            </a:ln>
                          </wps:spPr>
                          <wps:txbx>
                            <w:txbxContent>
                              <w:p w14:paraId="2BE43DEB" w14:textId="7B0D15FF" w:rsidR="00CF20BB" w:rsidRPr="00CA4E8C" w:rsidRDefault="00CF20BB" w:rsidP="00CF20BB">
                                <w:pPr>
                                  <w:rPr>
                                    <w:lang w:val="en-US"/>
                                  </w:rPr>
                                </w:pPr>
                                <w:r w:rsidRPr="00CA4E8C">
                                  <w:rPr>
                                    <w:lang w:val="en-US"/>
                                  </w:rPr>
                                  <w:t xml:space="preserve">Our recommendation for the </w:t>
                                </w:r>
                                <w:r w:rsidR="0057293C">
                                  <w:rPr>
                                    <w:lang w:val="en-US"/>
                                  </w:rPr>
                                  <w:t>Diana</w:t>
                                </w:r>
                                <w:r>
                                  <w:rPr>
                                    <w:lang w:val="en-US"/>
                                  </w:rPr>
                                  <w:t xml:space="preserve"> Shipping</w:t>
                                </w:r>
                                <w:r w:rsidRPr="00CA4E8C">
                                  <w:rPr>
                                    <w:lang w:val="en-US"/>
                                  </w:rPr>
                                  <w:t xml:space="preserve"> is a </w:t>
                                </w:r>
                                <w:r w:rsidR="00FB1BA6">
                                  <w:rPr>
                                    <w:b/>
                                    <w:bCs/>
                                    <w:lang w:val="en-US"/>
                                  </w:rPr>
                                  <w:t>Hold/Sell</w:t>
                                </w:r>
                                <w:r w:rsidRPr="00CA4E8C">
                                  <w:rPr>
                                    <w:lang w:val="en-US"/>
                                  </w:rPr>
                                  <w:t xml:space="preserve">. </w:t>
                                </w:r>
                              </w:p>
                              <w:p w14:paraId="6E2817E4" w14:textId="77777777" w:rsidR="00CF20BB" w:rsidRDefault="00CF20BB" w:rsidP="00CF20BB">
                                <w:pPr>
                                  <w:rPr>
                                    <w:lang w:val="en-US"/>
                                  </w:rPr>
                                </w:pPr>
                              </w:p>
                              <w:p w14:paraId="13297686" w14:textId="4F05E430" w:rsidR="00CF20BB" w:rsidRDefault="00CF20BB" w:rsidP="00CF20BB">
                                <w:pPr>
                                  <w:rPr>
                                    <w:rFonts w:ascii="Times New Roman" w:eastAsia="Times New Roman" w:hAnsi="Times New Roman" w:cs="Times New Roman"/>
                                    <w:b/>
                                    <w:bCs/>
                                    <w:color w:val="000000"/>
                                    <w:lang w:eastAsia="en-IN"/>
                                  </w:rPr>
                                </w:pPr>
                                <w:r>
                                  <w:rPr>
                                    <w:lang w:val="en-US"/>
                                  </w:rPr>
                                  <w:t>Our Share Price:</w:t>
                                </w:r>
                                <w:r>
                                  <w:rPr>
                                    <w:lang w:val="en-US"/>
                                  </w:rPr>
                                  <w:tab/>
                                </w:r>
                                <w:r>
                                  <w:rPr>
                                    <w:lang w:val="en-US"/>
                                  </w:rPr>
                                  <w:tab/>
                                </w:r>
                                <w:r>
                                  <w:rPr>
                                    <w:lang w:val="en-US"/>
                                  </w:rPr>
                                  <w:tab/>
                                </w:r>
                                <w:r>
                                  <w:rPr>
                                    <w:rFonts w:ascii="Times New Roman" w:eastAsia="Times New Roman" w:hAnsi="Times New Roman" w:cs="Times New Roman"/>
                                    <w:b/>
                                    <w:bCs/>
                                    <w:color w:val="000000"/>
                                    <w:lang w:eastAsia="en-IN"/>
                                  </w:rPr>
                                  <w:t>$</w:t>
                                </w:r>
                                <w:r w:rsidR="00B12A9D">
                                  <w:rPr>
                                    <w:rFonts w:ascii="Times New Roman" w:eastAsia="Times New Roman" w:hAnsi="Times New Roman" w:cs="Times New Roman"/>
                                    <w:b/>
                                    <w:bCs/>
                                    <w:color w:val="000000"/>
                                    <w:lang w:eastAsia="en-IN"/>
                                  </w:rPr>
                                  <w:t>3</w:t>
                                </w:r>
                                <w:r w:rsidR="00DF6CB2">
                                  <w:rPr>
                                    <w:rFonts w:ascii="Times New Roman" w:eastAsia="Times New Roman" w:hAnsi="Times New Roman" w:cs="Times New Roman"/>
                                    <w:b/>
                                    <w:bCs/>
                                    <w:color w:val="000000"/>
                                    <w:lang w:eastAsia="en-IN"/>
                                  </w:rPr>
                                  <w:t>.32</w:t>
                                </w:r>
                              </w:p>
                              <w:p w14:paraId="38B4AD59" w14:textId="5D8AE349" w:rsidR="00CF20BB" w:rsidRDefault="00CF20BB" w:rsidP="00CF20BB">
                                <w:pPr>
                                  <w:rPr>
                                    <w:rFonts w:ascii="Times New Roman" w:eastAsia="Times New Roman" w:hAnsi="Times New Roman" w:cs="Times New Roman"/>
                                    <w:b/>
                                    <w:bCs/>
                                    <w:color w:val="000000"/>
                                    <w:lang w:eastAsia="en-IN"/>
                                  </w:rPr>
                                </w:pPr>
                                <w:r>
                                  <w:rPr>
                                    <w:rFonts w:ascii="Times New Roman" w:eastAsia="Times New Roman" w:hAnsi="Times New Roman" w:cs="Times New Roman"/>
                                    <w:color w:val="000000"/>
                                    <w:lang w:eastAsia="en-IN"/>
                                  </w:rPr>
                                  <w:t>Current</w:t>
                                </w:r>
                                <w:r w:rsidRPr="00163AA6">
                                  <w:rPr>
                                    <w:rFonts w:ascii="Times New Roman" w:eastAsia="Times New Roman" w:hAnsi="Times New Roman" w:cs="Times New Roman"/>
                                    <w:color w:val="000000"/>
                                    <w:lang w:eastAsia="en-IN"/>
                                  </w:rPr>
                                  <w:t xml:space="preserve"> </w:t>
                                </w:r>
                                <w:r>
                                  <w:rPr>
                                    <w:rFonts w:ascii="Times New Roman" w:eastAsia="Times New Roman" w:hAnsi="Times New Roman" w:cs="Times New Roman"/>
                                    <w:color w:val="000000"/>
                                    <w:lang w:eastAsia="en-IN"/>
                                  </w:rPr>
                                  <w:t xml:space="preserve">Share Price: </w:t>
                                </w:r>
                                <w:r>
                                  <w:rPr>
                                    <w:rFonts w:ascii="Times New Roman" w:eastAsia="Times New Roman" w:hAnsi="Times New Roman" w:cs="Times New Roman"/>
                                    <w:color w:val="000000"/>
                                    <w:lang w:eastAsia="en-IN"/>
                                  </w:rPr>
                                  <w:tab/>
                                </w:r>
                                <w:r>
                                  <w:rPr>
                                    <w:rFonts w:ascii="Times New Roman" w:eastAsia="Times New Roman" w:hAnsi="Times New Roman" w:cs="Times New Roman"/>
                                    <w:color w:val="000000"/>
                                    <w:lang w:eastAsia="en-IN"/>
                                  </w:rPr>
                                  <w:tab/>
                                </w:r>
                                <w:r>
                                  <w:rPr>
                                    <w:rFonts w:ascii="Times New Roman" w:eastAsia="Times New Roman" w:hAnsi="Times New Roman" w:cs="Times New Roman"/>
                                    <w:color w:val="000000"/>
                                    <w:lang w:eastAsia="en-IN"/>
                                  </w:rPr>
                                  <w:tab/>
                                </w:r>
                                <w:r>
                                  <w:rPr>
                                    <w:rFonts w:ascii="Times New Roman" w:eastAsia="Times New Roman" w:hAnsi="Times New Roman" w:cs="Times New Roman"/>
                                    <w:b/>
                                    <w:bCs/>
                                    <w:color w:val="000000"/>
                                    <w:lang w:eastAsia="en-IN"/>
                                  </w:rPr>
                                  <w:t>$</w:t>
                                </w:r>
                                <w:r w:rsidR="00DF6CB2">
                                  <w:rPr>
                                    <w:rFonts w:ascii="Times New Roman" w:eastAsia="Times New Roman" w:hAnsi="Times New Roman" w:cs="Times New Roman"/>
                                    <w:b/>
                                    <w:bCs/>
                                    <w:color w:val="000000"/>
                                    <w:lang w:eastAsia="en-IN"/>
                                  </w:rPr>
                                  <w:t>3.51</w:t>
                                </w:r>
                              </w:p>
                              <w:p w14:paraId="066B11CB" w14:textId="77777777" w:rsidR="00CF20BB" w:rsidRDefault="00CF20BB" w:rsidP="00CF20BB">
                                <w:pPr>
                                  <w:rPr>
                                    <w:rFonts w:ascii="Times New Roman" w:eastAsia="Times New Roman" w:hAnsi="Times New Roman" w:cs="Times New Roman"/>
                                    <w:b/>
                                    <w:bCs/>
                                    <w:color w:val="000000"/>
                                    <w:lang w:eastAsia="en-IN"/>
                                  </w:rPr>
                                </w:pPr>
                              </w:p>
                              <w:p w14:paraId="54963FC8" w14:textId="18DF3707" w:rsidR="00CF20BB" w:rsidRDefault="00CF20BB" w:rsidP="00CF20BB">
                                <w:pPr>
                                  <w:rPr>
                                    <w:rFonts w:ascii="Times New Roman" w:eastAsia="Times New Roman" w:hAnsi="Times New Roman" w:cs="Times New Roman"/>
                                    <w:b/>
                                    <w:bCs/>
                                    <w:color w:val="000000"/>
                                    <w:lang w:eastAsia="en-IN"/>
                                  </w:rPr>
                                </w:pPr>
                                <w:r w:rsidRPr="00163AA6">
                                  <w:rPr>
                                    <w:rFonts w:ascii="Times New Roman" w:eastAsia="Times New Roman" w:hAnsi="Times New Roman" w:cs="Times New Roman"/>
                                    <w:color w:val="000000"/>
                                    <w:lang w:eastAsia="en-IN"/>
                                  </w:rPr>
                                  <w:t>Percentage</w:t>
                                </w:r>
                                <w:r>
                                  <w:rPr>
                                    <w:rFonts w:ascii="Times New Roman" w:eastAsia="Times New Roman" w:hAnsi="Times New Roman" w:cs="Times New Roman"/>
                                    <w:color w:val="000000"/>
                                    <w:lang w:eastAsia="en-IN"/>
                                  </w:rPr>
                                  <w:t xml:space="preserve"> (downside)</w:t>
                                </w:r>
                                <w:r>
                                  <w:rPr>
                                    <w:rFonts w:ascii="Times New Roman" w:eastAsia="Times New Roman" w:hAnsi="Times New Roman" w:cs="Times New Roman"/>
                                    <w:b/>
                                    <w:bCs/>
                                    <w:color w:val="000000"/>
                                    <w:lang w:eastAsia="en-IN"/>
                                  </w:rPr>
                                  <w:t>:</w:t>
                                </w:r>
                                <w:r>
                                  <w:rPr>
                                    <w:rFonts w:ascii="Times New Roman" w:eastAsia="Times New Roman" w:hAnsi="Times New Roman" w:cs="Times New Roman"/>
                                    <w:b/>
                                    <w:bCs/>
                                    <w:color w:val="000000"/>
                                    <w:lang w:eastAsia="en-IN"/>
                                  </w:rPr>
                                  <w:tab/>
                                </w:r>
                                <w:r>
                                  <w:rPr>
                                    <w:rFonts w:ascii="Times New Roman" w:eastAsia="Times New Roman" w:hAnsi="Times New Roman" w:cs="Times New Roman"/>
                                    <w:b/>
                                    <w:bCs/>
                                    <w:color w:val="000000"/>
                                    <w:lang w:eastAsia="en-IN"/>
                                  </w:rPr>
                                  <w:tab/>
                                  <w:t>-</w:t>
                                </w:r>
                                <w:r w:rsidR="00DF6CB2">
                                  <w:rPr>
                                    <w:rFonts w:ascii="Times New Roman" w:eastAsia="Times New Roman" w:hAnsi="Times New Roman" w:cs="Times New Roman"/>
                                    <w:b/>
                                    <w:bCs/>
                                    <w:color w:val="000000"/>
                                    <w:lang w:eastAsia="en-IN"/>
                                  </w:rPr>
                                  <w:t>5.39</w:t>
                                </w:r>
                                <w:r>
                                  <w:rPr>
                                    <w:rFonts w:ascii="Times New Roman" w:eastAsia="Times New Roman" w:hAnsi="Times New Roman" w:cs="Times New Roman"/>
                                    <w:b/>
                                    <w:bCs/>
                                    <w:color w:val="000000"/>
                                    <w:lang w:eastAsia="en-IN"/>
                                  </w:rPr>
                                  <w:t>%</w:t>
                                </w:r>
                              </w:p>
                              <w:p w14:paraId="2319CDD9" w14:textId="77777777" w:rsidR="00CF20BB" w:rsidRDefault="00CF20BB" w:rsidP="00CF20BB">
                                <w:pPr>
                                  <w:rPr>
                                    <w:rFonts w:ascii="Times New Roman" w:eastAsia="Times New Roman" w:hAnsi="Times New Roman" w:cs="Times New Roman"/>
                                    <w:b/>
                                    <w:bCs/>
                                    <w:color w:val="000000"/>
                                    <w:lang w:eastAsia="en-IN"/>
                                  </w:rPr>
                                </w:pPr>
                              </w:p>
                              <w:p w14:paraId="2FFAD0C7" w14:textId="77777777" w:rsidR="00CF20BB" w:rsidRPr="00163AA6" w:rsidRDefault="00CF20BB" w:rsidP="00CF20BB">
                                <w:pPr>
                                  <w:rPr>
                                    <w:rFonts w:ascii="Times New Roman" w:eastAsia="Times New Roman" w:hAnsi="Times New Roman" w:cs="Times New Roman"/>
                                    <w:color w:val="000000"/>
                                    <w:lang w:eastAsia="en-IN"/>
                                  </w:rPr>
                                </w:pPr>
                              </w:p>
                              <w:tbl>
                                <w:tblPr>
                                  <w:tblStyle w:val="TableGrid"/>
                                  <w:tblW w:w="0" w:type="auto"/>
                                  <w:tblLook w:val="04A0" w:firstRow="1" w:lastRow="0" w:firstColumn="1" w:lastColumn="0" w:noHBand="0" w:noVBand="1"/>
                                </w:tblPr>
                                <w:tblGrid>
                                  <w:gridCol w:w="2442"/>
                                  <w:gridCol w:w="2440"/>
                                </w:tblGrid>
                                <w:tr w:rsidR="00FB1BA6" w14:paraId="63D45597" w14:textId="77777777" w:rsidTr="00FB1BA6">
                                  <w:tc>
                                    <w:tcPr>
                                      <w:tcW w:w="2442" w:type="dxa"/>
                                    </w:tcPr>
                                    <w:p w14:paraId="4D298C3C" w14:textId="3D292364" w:rsidR="00FB1BA6" w:rsidRDefault="00FB1BA6" w:rsidP="00CF20BB">
                                      <w:pPr>
                                        <w:rPr>
                                          <w:lang w:val="en-US"/>
                                        </w:rPr>
                                      </w:pPr>
                                      <w:r>
                                        <w:rPr>
                                          <w:lang w:val="en-US"/>
                                        </w:rPr>
                                        <w:t>52 Week High</w:t>
                                      </w:r>
                                    </w:p>
                                  </w:tc>
                                  <w:tc>
                                    <w:tcPr>
                                      <w:tcW w:w="2440" w:type="dxa"/>
                                    </w:tcPr>
                                    <w:p w14:paraId="4DF5A554" w14:textId="45B1EA4C" w:rsidR="00FB1BA6" w:rsidRDefault="00FB1BA6" w:rsidP="00CF20BB">
                                      <w:pPr>
                                        <w:rPr>
                                          <w:lang w:val="en-US"/>
                                        </w:rPr>
                                      </w:pPr>
                                      <w:r>
                                        <w:rPr>
                                          <w:lang w:val="en-US"/>
                                        </w:rPr>
                                        <w:t>$6.72</w:t>
                                      </w:r>
                                    </w:p>
                                  </w:tc>
                                </w:tr>
                                <w:tr w:rsidR="00FB1BA6" w14:paraId="31960A8B" w14:textId="77777777" w:rsidTr="00FB1BA6">
                                  <w:tc>
                                    <w:tcPr>
                                      <w:tcW w:w="2442" w:type="dxa"/>
                                    </w:tcPr>
                                    <w:p w14:paraId="63E46608" w14:textId="5E672227" w:rsidR="00FB1BA6" w:rsidRDefault="00FB1BA6" w:rsidP="00CF20BB">
                                      <w:pPr>
                                        <w:rPr>
                                          <w:lang w:val="en-US"/>
                                        </w:rPr>
                                      </w:pPr>
                                      <w:r>
                                        <w:rPr>
                                          <w:lang w:val="en-US"/>
                                        </w:rPr>
                                        <w:t>52 Week Low</w:t>
                                      </w:r>
                                    </w:p>
                                  </w:tc>
                                  <w:tc>
                                    <w:tcPr>
                                      <w:tcW w:w="2440" w:type="dxa"/>
                                    </w:tcPr>
                                    <w:p w14:paraId="4C2B3B7D" w14:textId="4C3502D7" w:rsidR="00FB1BA6" w:rsidRDefault="00FB1BA6" w:rsidP="00CF20BB">
                                      <w:pPr>
                                        <w:rPr>
                                          <w:lang w:val="en-US"/>
                                        </w:rPr>
                                      </w:pPr>
                                      <w:r>
                                        <w:rPr>
                                          <w:lang w:val="en-US"/>
                                        </w:rPr>
                                        <w:t>$3.22</w:t>
                                      </w:r>
                                    </w:p>
                                  </w:tc>
                                </w:tr>
                                <w:tr w:rsidR="00FB1BA6" w14:paraId="1737A1E3" w14:textId="77777777" w:rsidTr="00FB1BA6">
                                  <w:tc>
                                    <w:tcPr>
                                      <w:tcW w:w="2442" w:type="dxa"/>
                                    </w:tcPr>
                                    <w:p w14:paraId="641F520E" w14:textId="28A579E4" w:rsidR="00FB1BA6" w:rsidRDefault="00FB1BA6" w:rsidP="00CF20BB">
                                      <w:pPr>
                                        <w:rPr>
                                          <w:lang w:val="en-US"/>
                                        </w:rPr>
                                      </w:pPr>
                                      <w:r>
                                        <w:rPr>
                                          <w:lang w:val="en-US"/>
                                        </w:rPr>
                                        <w:t>P/E</w:t>
                                      </w:r>
                                    </w:p>
                                  </w:tc>
                                  <w:tc>
                                    <w:tcPr>
                                      <w:tcW w:w="2440" w:type="dxa"/>
                                    </w:tcPr>
                                    <w:p w14:paraId="209BE1F1" w14:textId="1F4B3FD3" w:rsidR="00FB1BA6" w:rsidRDefault="00FB1BA6" w:rsidP="00CF20BB">
                                      <w:pPr>
                                        <w:rPr>
                                          <w:lang w:val="en-US"/>
                                        </w:rPr>
                                      </w:pPr>
                                      <w:r>
                                        <w:rPr>
                                          <w:lang w:val="en-US"/>
                                        </w:rPr>
                                        <w:t>2.20</w:t>
                                      </w:r>
                                    </w:p>
                                  </w:tc>
                                </w:tr>
                                <w:tr w:rsidR="00FB1BA6" w14:paraId="7EFC7F77" w14:textId="77777777" w:rsidTr="00FB1BA6">
                                  <w:tc>
                                    <w:tcPr>
                                      <w:tcW w:w="2442" w:type="dxa"/>
                                    </w:tcPr>
                                    <w:p w14:paraId="4C4A31F1" w14:textId="625AE260" w:rsidR="00FB1BA6" w:rsidRDefault="00FB1BA6" w:rsidP="00CF20BB">
                                      <w:pPr>
                                        <w:rPr>
                                          <w:lang w:val="en-US"/>
                                        </w:rPr>
                                      </w:pPr>
                                      <w:r>
                                        <w:rPr>
                                          <w:lang w:val="en-US"/>
                                        </w:rPr>
                                        <w:t>EPS</w:t>
                                      </w:r>
                                    </w:p>
                                  </w:tc>
                                  <w:tc>
                                    <w:tcPr>
                                      <w:tcW w:w="2440" w:type="dxa"/>
                                    </w:tcPr>
                                    <w:p w14:paraId="556AD865" w14:textId="244C54AF" w:rsidR="00FB1BA6" w:rsidRDefault="00FB1BA6" w:rsidP="00CF20BB">
                                      <w:pPr>
                                        <w:rPr>
                                          <w:lang w:val="en-US"/>
                                        </w:rPr>
                                      </w:pPr>
                                      <w:r>
                                        <w:rPr>
                                          <w:lang w:val="en-US"/>
                                        </w:rPr>
                                        <w:t>$1.23</w:t>
                                      </w:r>
                                    </w:p>
                                  </w:tc>
                                </w:tr>
                                <w:tr w:rsidR="00FB1BA6" w14:paraId="59C37FDC" w14:textId="77777777" w:rsidTr="00FB1BA6">
                                  <w:tc>
                                    <w:tcPr>
                                      <w:tcW w:w="2442" w:type="dxa"/>
                                    </w:tcPr>
                                    <w:p w14:paraId="37B30433" w14:textId="37981DE3" w:rsidR="00FB1BA6" w:rsidRDefault="00FB1BA6" w:rsidP="00CF20BB">
                                      <w:pPr>
                                        <w:rPr>
                                          <w:lang w:val="en-US"/>
                                        </w:rPr>
                                      </w:pPr>
                                      <w:r>
                                        <w:rPr>
                                          <w:lang w:val="en-US"/>
                                        </w:rPr>
                                        <w:t>Dividend Yield</w:t>
                                      </w:r>
                                    </w:p>
                                  </w:tc>
                                  <w:tc>
                                    <w:tcPr>
                                      <w:tcW w:w="2440" w:type="dxa"/>
                                    </w:tcPr>
                                    <w:p w14:paraId="69B4D7B1" w14:textId="47A11633" w:rsidR="00FB1BA6" w:rsidRDefault="00FB1BA6" w:rsidP="00CF20BB">
                                      <w:pPr>
                                        <w:rPr>
                                          <w:lang w:val="en-US"/>
                                        </w:rPr>
                                      </w:pPr>
                                      <w:r>
                                        <w:rPr>
                                          <w:lang w:val="en-US"/>
                                        </w:rPr>
                                        <w:t>19.94%</w:t>
                                      </w:r>
                                    </w:p>
                                  </w:tc>
                                </w:tr>
                              </w:tbl>
                              <w:p w14:paraId="70FC60BA" w14:textId="51FF5481" w:rsidR="00CF20BB" w:rsidRDefault="000B792A" w:rsidP="000B792A">
                                <w:pPr>
                                  <w:jc w:val="center"/>
                                  <w:rPr>
                                    <w:lang w:val="en-US"/>
                                  </w:rPr>
                                </w:pPr>
                                <w:r>
                                  <w:rPr>
                                    <w:lang w:val="en-US"/>
                                  </w:rPr>
                                  <w:t>Source: Bloomberg</w:t>
                                </w:r>
                              </w:p>
                              <w:p w14:paraId="4D90C1BE" w14:textId="77777777" w:rsidR="00CF20BB" w:rsidRDefault="00CF20BB" w:rsidP="00CF20BB">
                                <w:pPr>
                                  <w:rPr>
                                    <w:b/>
                                    <w:bCs/>
                                    <w:lang w:val="en-US"/>
                                  </w:rPr>
                                </w:pPr>
                              </w:p>
                              <w:p w14:paraId="67840E43" w14:textId="1B8DDDA1" w:rsidR="00CF20BB" w:rsidRDefault="00FB1BA6" w:rsidP="00CF20BB">
                                <w:pPr>
                                  <w:rPr>
                                    <w:lang w:val="en-US"/>
                                  </w:rPr>
                                </w:pPr>
                                <w:r>
                                  <w:rPr>
                                    <w:lang w:val="en-US"/>
                                  </w:rPr>
                                  <w:t xml:space="preserve">Diana Shipping </w:t>
                                </w:r>
                                <w:r w:rsidR="00E73CCE">
                                  <w:rPr>
                                    <w:lang w:val="en-US"/>
                                  </w:rPr>
                                  <w:t xml:space="preserve">Corporation (DSX) has performed relatively strongly in the last year but uncertainty regarding future economic climate has caused the price to decline. </w:t>
                                </w:r>
                              </w:p>
                              <w:p w14:paraId="2C7C370A" w14:textId="34585466" w:rsidR="00E73CCE" w:rsidRDefault="00E73CCE" w:rsidP="00CF20BB">
                                <w:pPr>
                                  <w:rPr>
                                    <w:lang w:val="en-US"/>
                                  </w:rPr>
                                </w:pPr>
                              </w:p>
                              <w:p w14:paraId="3BAA97C2" w14:textId="6DF336AD" w:rsidR="00E73CCE" w:rsidRPr="00A35FF2" w:rsidRDefault="00E73CCE" w:rsidP="00CF20BB">
                                <w:pPr>
                                  <w:rPr>
                                    <w:lang w:val="en-US"/>
                                  </w:rPr>
                                </w:pPr>
                                <w:r>
                                  <w:rPr>
                                    <w:lang w:val="en-US"/>
                                  </w:rPr>
                                  <w:t xml:space="preserve">The company specialize in bareboat charter hire which means they act more as a leasing company to customers than providing a service. Given the fact that they have not to worry about fuel crises and labor shortages they have remained insulated from pressures within the industry in recent quarters. However, with such comfort has come lower revenue compared to others that offer a more comprehensive service. Their expansive CAPEX investment in 2022 is reflective of their intention to reach previous fleet size highs with the extra windfall resulting from high charter prices during the covid era.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6EF1CA8" id="_x0000_t202" coordsize="21600,21600" o:spt="202" path="m,l,21600r21600,l21600,xe">
                    <v:stroke joinstyle="miter"/>
                    <v:path gradientshapeok="t" o:connecttype="rect"/>
                  </v:shapetype>
                  <v:shape id="Text Box 16" o:spid="_x0000_s1028" type="#_x0000_t202" style="position:absolute;margin-left:238.9pt;margin-top:16.55pt;width:259.5pt;height:54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hgySZgIAANwEAAAOAAAAZHJzL2Uyb0RvYy54bWysVFtv2jAUfp+0/2D5fSSES0dEqBgV0yTW&#13;&#10;VqJTn43jQFTHx7MNSffrd+wkwNo9TePB+Fx8Lt/5Tua3TSXJSRhbgsrocBBTIhSHvFT7jP54Wn/6&#13;&#10;TIl1TOVMghIZfRWW3i4+fpjXOhUJHEDmwhAMomxa64wenNNpFFl+EBWzA9BCobEAUzGHotlHuWE1&#13;&#10;Rq9klMTxNKrB5NoAF9ai9q410kWIXxSCu4eisMIRmVGszYXThHPnz2gxZ+neMH0oeVcG+4cqKlYq&#13;&#10;THoOdcccI0dTvgtVldyAhcINOFQRFEXJRegBuxnGb7rZHpgWoRcEx+ozTPb/heX3p61+NMQ1X6DB&#13;&#10;AYYmrN4Af7GITVRrm3Y+HlObWvT2jTaFqfw/tkDwIWL7esZTNI5wVI6S2WQ6QRNH23R2k4zigHh0&#13;&#10;ea6NdV8FVMRfMmpwYKEEdtpY5wtgae/is1mQZb4upQyCJ4lYSUNODMfLOBfKTcNzeay+Q97qxzH+&#13;&#10;2kGjGunQqqe9GlMEuvlIIeEfSaQiNRY/wjbeFeArO6ffScZffBof71ImSlJ1QLbYeRRds2tImWc0&#13;&#10;8S+8Zgf5K87BQEtRq/m6xPAbZt0jM8hJhBH3zD3gUUjAmqC7UXIA8+tveu+PVEErJTVyPKP255EZ&#13;&#10;QYn8ppBEs+F47JciCOPJTYKCubbsri3qWK0AcR7iRmsert7fyf5aGKiecR2XPiuamOKYO6Ouv65c&#13;&#10;u3m4zlwsl8EJ10Azt1FbzXv6eVifmmdmdMcKh4S6h34bWPqGHK2vn46C5dFBUQbmXFDt4McVCtPp&#13;&#10;1t3v6LUcvC4fpcVvAAAA//8DAFBLAwQUAAYACAAAACEAAGpnSuQAAAAQAQAADwAAAGRycy9kb3du&#13;&#10;cmV2LnhtbExPy07DMBC8I/EP1iJxo44JSpo0ThXxkDjQAwWJHt3YjSNiO7LdJP17lhNcVtqd2XlU&#13;&#10;28UMZFI+9M5yYKsEiLKtk73tOHx+vNytgYQorBSDs4rDRQXY1tdXlSilm+27mvaxIyhiQyk46BjH&#13;&#10;ktLQamVEWLlRWcROzhsRcfUdlV7MKG4Gep8kGTWit+igxagetWq/92eDJm2Rr/XuMO++3l6fL5Nv&#13;&#10;siQ2nN/eLE8bHM0GSFRL/PuA3w6YH2oMdnRnKwMZODzkOeaPHNKUAUFCUWR4OCKTpYwBrSv6v0j9&#13;&#10;AwAA//8DAFBLAQItABQABgAIAAAAIQC2gziS/gAAAOEBAAATAAAAAAAAAAAAAAAAAAAAAABbQ29u&#13;&#10;dGVudF9UeXBlc10ueG1sUEsBAi0AFAAGAAgAAAAhADj9If/WAAAAlAEAAAsAAAAAAAAAAAAAAAAA&#13;&#10;LwEAAF9yZWxzLy5yZWxzUEsBAi0AFAAGAAgAAAAhAHiGDJJmAgAA3AQAAA4AAAAAAAAAAAAAAAAA&#13;&#10;LgIAAGRycy9lMm9Eb2MueG1sUEsBAi0AFAAGAAgAAAAhAABqZ0rkAAAAEAEAAA8AAAAAAAAAAAAA&#13;&#10;AAAAwAQAAGRycy9kb3ducmV2LnhtbFBLBQYAAAAABAAEAPMAAADRBQAAAAA=&#13;&#10;" fillcolor="#c5e0b3 [1305]" strokeweight=".5pt">
                    <v:path arrowok="t"/>
                    <v:textbox>
                      <w:txbxContent>
                        <w:p w14:paraId="2BE43DEB" w14:textId="7B0D15FF" w:rsidR="00CF20BB" w:rsidRPr="00CA4E8C" w:rsidRDefault="00CF20BB" w:rsidP="00CF20BB">
                          <w:pPr>
                            <w:rPr>
                              <w:lang w:val="en-US"/>
                            </w:rPr>
                          </w:pPr>
                          <w:r w:rsidRPr="00CA4E8C">
                            <w:rPr>
                              <w:lang w:val="en-US"/>
                            </w:rPr>
                            <w:t xml:space="preserve">Our recommendation for the </w:t>
                          </w:r>
                          <w:r w:rsidR="0057293C">
                            <w:rPr>
                              <w:lang w:val="en-US"/>
                            </w:rPr>
                            <w:t>Diana</w:t>
                          </w:r>
                          <w:r>
                            <w:rPr>
                              <w:lang w:val="en-US"/>
                            </w:rPr>
                            <w:t xml:space="preserve"> Shipping</w:t>
                          </w:r>
                          <w:r w:rsidRPr="00CA4E8C">
                            <w:rPr>
                              <w:lang w:val="en-US"/>
                            </w:rPr>
                            <w:t xml:space="preserve"> is a </w:t>
                          </w:r>
                          <w:r w:rsidR="00FB1BA6">
                            <w:rPr>
                              <w:b/>
                              <w:bCs/>
                              <w:lang w:val="en-US"/>
                            </w:rPr>
                            <w:t>Hold/Sell</w:t>
                          </w:r>
                          <w:r w:rsidRPr="00CA4E8C">
                            <w:rPr>
                              <w:lang w:val="en-US"/>
                            </w:rPr>
                            <w:t xml:space="preserve">. </w:t>
                          </w:r>
                        </w:p>
                        <w:p w14:paraId="6E2817E4" w14:textId="77777777" w:rsidR="00CF20BB" w:rsidRDefault="00CF20BB" w:rsidP="00CF20BB">
                          <w:pPr>
                            <w:rPr>
                              <w:lang w:val="en-US"/>
                            </w:rPr>
                          </w:pPr>
                        </w:p>
                        <w:p w14:paraId="13297686" w14:textId="4F05E430" w:rsidR="00CF20BB" w:rsidRDefault="00CF20BB" w:rsidP="00CF20BB">
                          <w:pPr>
                            <w:rPr>
                              <w:rFonts w:ascii="Times New Roman" w:eastAsia="Times New Roman" w:hAnsi="Times New Roman" w:cs="Times New Roman"/>
                              <w:b/>
                              <w:bCs/>
                              <w:color w:val="000000"/>
                              <w:lang w:eastAsia="en-IN"/>
                            </w:rPr>
                          </w:pPr>
                          <w:r>
                            <w:rPr>
                              <w:lang w:val="en-US"/>
                            </w:rPr>
                            <w:t>Our Share Price:</w:t>
                          </w:r>
                          <w:r>
                            <w:rPr>
                              <w:lang w:val="en-US"/>
                            </w:rPr>
                            <w:tab/>
                          </w:r>
                          <w:r>
                            <w:rPr>
                              <w:lang w:val="en-US"/>
                            </w:rPr>
                            <w:tab/>
                          </w:r>
                          <w:r>
                            <w:rPr>
                              <w:lang w:val="en-US"/>
                            </w:rPr>
                            <w:tab/>
                          </w:r>
                          <w:r>
                            <w:rPr>
                              <w:rFonts w:ascii="Times New Roman" w:eastAsia="Times New Roman" w:hAnsi="Times New Roman" w:cs="Times New Roman"/>
                              <w:b/>
                              <w:bCs/>
                              <w:color w:val="000000"/>
                              <w:lang w:eastAsia="en-IN"/>
                            </w:rPr>
                            <w:t>$</w:t>
                          </w:r>
                          <w:r w:rsidR="00B12A9D">
                            <w:rPr>
                              <w:rFonts w:ascii="Times New Roman" w:eastAsia="Times New Roman" w:hAnsi="Times New Roman" w:cs="Times New Roman"/>
                              <w:b/>
                              <w:bCs/>
                              <w:color w:val="000000"/>
                              <w:lang w:eastAsia="en-IN"/>
                            </w:rPr>
                            <w:t>3</w:t>
                          </w:r>
                          <w:r w:rsidR="00DF6CB2">
                            <w:rPr>
                              <w:rFonts w:ascii="Times New Roman" w:eastAsia="Times New Roman" w:hAnsi="Times New Roman" w:cs="Times New Roman"/>
                              <w:b/>
                              <w:bCs/>
                              <w:color w:val="000000"/>
                              <w:lang w:eastAsia="en-IN"/>
                            </w:rPr>
                            <w:t>.32</w:t>
                          </w:r>
                        </w:p>
                        <w:p w14:paraId="38B4AD59" w14:textId="5D8AE349" w:rsidR="00CF20BB" w:rsidRDefault="00CF20BB" w:rsidP="00CF20BB">
                          <w:pPr>
                            <w:rPr>
                              <w:rFonts w:ascii="Times New Roman" w:eastAsia="Times New Roman" w:hAnsi="Times New Roman" w:cs="Times New Roman"/>
                              <w:b/>
                              <w:bCs/>
                              <w:color w:val="000000"/>
                              <w:lang w:eastAsia="en-IN"/>
                            </w:rPr>
                          </w:pPr>
                          <w:r>
                            <w:rPr>
                              <w:rFonts w:ascii="Times New Roman" w:eastAsia="Times New Roman" w:hAnsi="Times New Roman" w:cs="Times New Roman"/>
                              <w:color w:val="000000"/>
                              <w:lang w:eastAsia="en-IN"/>
                            </w:rPr>
                            <w:t>Current</w:t>
                          </w:r>
                          <w:r w:rsidRPr="00163AA6">
                            <w:rPr>
                              <w:rFonts w:ascii="Times New Roman" w:eastAsia="Times New Roman" w:hAnsi="Times New Roman" w:cs="Times New Roman"/>
                              <w:color w:val="000000"/>
                              <w:lang w:eastAsia="en-IN"/>
                            </w:rPr>
                            <w:t xml:space="preserve"> </w:t>
                          </w:r>
                          <w:r>
                            <w:rPr>
                              <w:rFonts w:ascii="Times New Roman" w:eastAsia="Times New Roman" w:hAnsi="Times New Roman" w:cs="Times New Roman"/>
                              <w:color w:val="000000"/>
                              <w:lang w:eastAsia="en-IN"/>
                            </w:rPr>
                            <w:t xml:space="preserve">Share Price: </w:t>
                          </w:r>
                          <w:r>
                            <w:rPr>
                              <w:rFonts w:ascii="Times New Roman" w:eastAsia="Times New Roman" w:hAnsi="Times New Roman" w:cs="Times New Roman"/>
                              <w:color w:val="000000"/>
                              <w:lang w:eastAsia="en-IN"/>
                            </w:rPr>
                            <w:tab/>
                          </w:r>
                          <w:r>
                            <w:rPr>
                              <w:rFonts w:ascii="Times New Roman" w:eastAsia="Times New Roman" w:hAnsi="Times New Roman" w:cs="Times New Roman"/>
                              <w:color w:val="000000"/>
                              <w:lang w:eastAsia="en-IN"/>
                            </w:rPr>
                            <w:tab/>
                          </w:r>
                          <w:r>
                            <w:rPr>
                              <w:rFonts w:ascii="Times New Roman" w:eastAsia="Times New Roman" w:hAnsi="Times New Roman" w:cs="Times New Roman"/>
                              <w:color w:val="000000"/>
                              <w:lang w:eastAsia="en-IN"/>
                            </w:rPr>
                            <w:tab/>
                          </w:r>
                          <w:r>
                            <w:rPr>
                              <w:rFonts w:ascii="Times New Roman" w:eastAsia="Times New Roman" w:hAnsi="Times New Roman" w:cs="Times New Roman"/>
                              <w:b/>
                              <w:bCs/>
                              <w:color w:val="000000"/>
                              <w:lang w:eastAsia="en-IN"/>
                            </w:rPr>
                            <w:t>$</w:t>
                          </w:r>
                          <w:r w:rsidR="00DF6CB2">
                            <w:rPr>
                              <w:rFonts w:ascii="Times New Roman" w:eastAsia="Times New Roman" w:hAnsi="Times New Roman" w:cs="Times New Roman"/>
                              <w:b/>
                              <w:bCs/>
                              <w:color w:val="000000"/>
                              <w:lang w:eastAsia="en-IN"/>
                            </w:rPr>
                            <w:t>3.51</w:t>
                          </w:r>
                        </w:p>
                        <w:p w14:paraId="066B11CB" w14:textId="77777777" w:rsidR="00CF20BB" w:rsidRDefault="00CF20BB" w:rsidP="00CF20BB">
                          <w:pPr>
                            <w:rPr>
                              <w:rFonts w:ascii="Times New Roman" w:eastAsia="Times New Roman" w:hAnsi="Times New Roman" w:cs="Times New Roman"/>
                              <w:b/>
                              <w:bCs/>
                              <w:color w:val="000000"/>
                              <w:lang w:eastAsia="en-IN"/>
                            </w:rPr>
                          </w:pPr>
                        </w:p>
                        <w:p w14:paraId="54963FC8" w14:textId="18DF3707" w:rsidR="00CF20BB" w:rsidRDefault="00CF20BB" w:rsidP="00CF20BB">
                          <w:pPr>
                            <w:rPr>
                              <w:rFonts w:ascii="Times New Roman" w:eastAsia="Times New Roman" w:hAnsi="Times New Roman" w:cs="Times New Roman"/>
                              <w:b/>
                              <w:bCs/>
                              <w:color w:val="000000"/>
                              <w:lang w:eastAsia="en-IN"/>
                            </w:rPr>
                          </w:pPr>
                          <w:r w:rsidRPr="00163AA6">
                            <w:rPr>
                              <w:rFonts w:ascii="Times New Roman" w:eastAsia="Times New Roman" w:hAnsi="Times New Roman" w:cs="Times New Roman"/>
                              <w:color w:val="000000"/>
                              <w:lang w:eastAsia="en-IN"/>
                            </w:rPr>
                            <w:t>Percentage</w:t>
                          </w:r>
                          <w:r>
                            <w:rPr>
                              <w:rFonts w:ascii="Times New Roman" w:eastAsia="Times New Roman" w:hAnsi="Times New Roman" w:cs="Times New Roman"/>
                              <w:color w:val="000000"/>
                              <w:lang w:eastAsia="en-IN"/>
                            </w:rPr>
                            <w:t xml:space="preserve"> (downside)</w:t>
                          </w:r>
                          <w:r>
                            <w:rPr>
                              <w:rFonts w:ascii="Times New Roman" w:eastAsia="Times New Roman" w:hAnsi="Times New Roman" w:cs="Times New Roman"/>
                              <w:b/>
                              <w:bCs/>
                              <w:color w:val="000000"/>
                              <w:lang w:eastAsia="en-IN"/>
                            </w:rPr>
                            <w:t>:</w:t>
                          </w:r>
                          <w:r>
                            <w:rPr>
                              <w:rFonts w:ascii="Times New Roman" w:eastAsia="Times New Roman" w:hAnsi="Times New Roman" w:cs="Times New Roman"/>
                              <w:b/>
                              <w:bCs/>
                              <w:color w:val="000000"/>
                              <w:lang w:eastAsia="en-IN"/>
                            </w:rPr>
                            <w:tab/>
                          </w:r>
                          <w:r>
                            <w:rPr>
                              <w:rFonts w:ascii="Times New Roman" w:eastAsia="Times New Roman" w:hAnsi="Times New Roman" w:cs="Times New Roman"/>
                              <w:b/>
                              <w:bCs/>
                              <w:color w:val="000000"/>
                              <w:lang w:eastAsia="en-IN"/>
                            </w:rPr>
                            <w:tab/>
                            <w:t>-</w:t>
                          </w:r>
                          <w:r w:rsidR="00DF6CB2">
                            <w:rPr>
                              <w:rFonts w:ascii="Times New Roman" w:eastAsia="Times New Roman" w:hAnsi="Times New Roman" w:cs="Times New Roman"/>
                              <w:b/>
                              <w:bCs/>
                              <w:color w:val="000000"/>
                              <w:lang w:eastAsia="en-IN"/>
                            </w:rPr>
                            <w:t>5.39</w:t>
                          </w:r>
                          <w:r>
                            <w:rPr>
                              <w:rFonts w:ascii="Times New Roman" w:eastAsia="Times New Roman" w:hAnsi="Times New Roman" w:cs="Times New Roman"/>
                              <w:b/>
                              <w:bCs/>
                              <w:color w:val="000000"/>
                              <w:lang w:eastAsia="en-IN"/>
                            </w:rPr>
                            <w:t>%</w:t>
                          </w:r>
                        </w:p>
                        <w:p w14:paraId="2319CDD9" w14:textId="77777777" w:rsidR="00CF20BB" w:rsidRDefault="00CF20BB" w:rsidP="00CF20BB">
                          <w:pPr>
                            <w:rPr>
                              <w:rFonts w:ascii="Times New Roman" w:eastAsia="Times New Roman" w:hAnsi="Times New Roman" w:cs="Times New Roman"/>
                              <w:b/>
                              <w:bCs/>
                              <w:color w:val="000000"/>
                              <w:lang w:eastAsia="en-IN"/>
                            </w:rPr>
                          </w:pPr>
                        </w:p>
                        <w:p w14:paraId="2FFAD0C7" w14:textId="77777777" w:rsidR="00CF20BB" w:rsidRPr="00163AA6" w:rsidRDefault="00CF20BB" w:rsidP="00CF20BB">
                          <w:pPr>
                            <w:rPr>
                              <w:rFonts w:ascii="Times New Roman" w:eastAsia="Times New Roman" w:hAnsi="Times New Roman" w:cs="Times New Roman"/>
                              <w:color w:val="000000"/>
                              <w:lang w:eastAsia="en-IN"/>
                            </w:rPr>
                          </w:pPr>
                        </w:p>
                        <w:tbl>
                          <w:tblPr>
                            <w:tblStyle w:val="TableGrid"/>
                            <w:tblW w:w="0" w:type="auto"/>
                            <w:tblLook w:val="04A0" w:firstRow="1" w:lastRow="0" w:firstColumn="1" w:lastColumn="0" w:noHBand="0" w:noVBand="1"/>
                          </w:tblPr>
                          <w:tblGrid>
                            <w:gridCol w:w="2442"/>
                            <w:gridCol w:w="2440"/>
                          </w:tblGrid>
                          <w:tr w:rsidR="00FB1BA6" w14:paraId="63D45597" w14:textId="77777777" w:rsidTr="00FB1BA6">
                            <w:tc>
                              <w:tcPr>
                                <w:tcW w:w="2442" w:type="dxa"/>
                              </w:tcPr>
                              <w:p w14:paraId="4D298C3C" w14:textId="3D292364" w:rsidR="00FB1BA6" w:rsidRDefault="00FB1BA6" w:rsidP="00CF20BB">
                                <w:pPr>
                                  <w:rPr>
                                    <w:lang w:val="en-US"/>
                                  </w:rPr>
                                </w:pPr>
                                <w:r>
                                  <w:rPr>
                                    <w:lang w:val="en-US"/>
                                  </w:rPr>
                                  <w:t>52 Week High</w:t>
                                </w:r>
                              </w:p>
                            </w:tc>
                            <w:tc>
                              <w:tcPr>
                                <w:tcW w:w="2440" w:type="dxa"/>
                              </w:tcPr>
                              <w:p w14:paraId="4DF5A554" w14:textId="45B1EA4C" w:rsidR="00FB1BA6" w:rsidRDefault="00FB1BA6" w:rsidP="00CF20BB">
                                <w:pPr>
                                  <w:rPr>
                                    <w:lang w:val="en-US"/>
                                  </w:rPr>
                                </w:pPr>
                                <w:r>
                                  <w:rPr>
                                    <w:lang w:val="en-US"/>
                                  </w:rPr>
                                  <w:t>$6.72</w:t>
                                </w:r>
                              </w:p>
                            </w:tc>
                          </w:tr>
                          <w:tr w:rsidR="00FB1BA6" w14:paraId="31960A8B" w14:textId="77777777" w:rsidTr="00FB1BA6">
                            <w:tc>
                              <w:tcPr>
                                <w:tcW w:w="2442" w:type="dxa"/>
                              </w:tcPr>
                              <w:p w14:paraId="63E46608" w14:textId="5E672227" w:rsidR="00FB1BA6" w:rsidRDefault="00FB1BA6" w:rsidP="00CF20BB">
                                <w:pPr>
                                  <w:rPr>
                                    <w:lang w:val="en-US"/>
                                  </w:rPr>
                                </w:pPr>
                                <w:r>
                                  <w:rPr>
                                    <w:lang w:val="en-US"/>
                                  </w:rPr>
                                  <w:t>52 Week Low</w:t>
                                </w:r>
                              </w:p>
                            </w:tc>
                            <w:tc>
                              <w:tcPr>
                                <w:tcW w:w="2440" w:type="dxa"/>
                              </w:tcPr>
                              <w:p w14:paraId="4C2B3B7D" w14:textId="4C3502D7" w:rsidR="00FB1BA6" w:rsidRDefault="00FB1BA6" w:rsidP="00CF20BB">
                                <w:pPr>
                                  <w:rPr>
                                    <w:lang w:val="en-US"/>
                                  </w:rPr>
                                </w:pPr>
                                <w:r>
                                  <w:rPr>
                                    <w:lang w:val="en-US"/>
                                  </w:rPr>
                                  <w:t>$3.22</w:t>
                                </w:r>
                              </w:p>
                            </w:tc>
                          </w:tr>
                          <w:tr w:rsidR="00FB1BA6" w14:paraId="1737A1E3" w14:textId="77777777" w:rsidTr="00FB1BA6">
                            <w:tc>
                              <w:tcPr>
                                <w:tcW w:w="2442" w:type="dxa"/>
                              </w:tcPr>
                              <w:p w14:paraId="641F520E" w14:textId="28A579E4" w:rsidR="00FB1BA6" w:rsidRDefault="00FB1BA6" w:rsidP="00CF20BB">
                                <w:pPr>
                                  <w:rPr>
                                    <w:lang w:val="en-US"/>
                                  </w:rPr>
                                </w:pPr>
                                <w:r>
                                  <w:rPr>
                                    <w:lang w:val="en-US"/>
                                  </w:rPr>
                                  <w:t>P/E</w:t>
                                </w:r>
                              </w:p>
                            </w:tc>
                            <w:tc>
                              <w:tcPr>
                                <w:tcW w:w="2440" w:type="dxa"/>
                              </w:tcPr>
                              <w:p w14:paraId="209BE1F1" w14:textId="1F4B3FD3" w:rsidR="00FB1BA6" w:rsidRDefault="00FB1BA6" w:rsidP="00CF20BB">
                                <w:pPr>
                                  <w:rPr>
                                    <w:lang w:val="en-US"/>
                                  </w:rPr>
                                </w:pPr>
                                <w:r>
                                  <w:rPr>
                                    <w:lang w:val="en-US"/>
                                  </w:rPr>
                                  <w:t>2.20</w:t>
                                </w:r>
                              </w:p>
                            </w:tc>
                          </w:tr>
                          <w:tr w:rsidR="00FB1BA6" w14:paraId="7EFC7F77" w14:textId="77777777" w:rsidTr="00FB1BA6">
                            <w:tc>
                              <w:tcPr>
                                <w:tcW w:w="2442" w:type="dxa"/>
                              </w:tcPr>
                              <w:p w14:paraId="4C4A31F1" w14:textId="625AE260" w:rsidR="00FB1BA6" w:rsidRDefault="00FB1BA6" w:rsidP="00CF20BB">
                                <w:pPr>
                                  <w:rPr>
                                    <w:lang w:val="en-US"/>
                                  </w:rPr>
                                </w:pPr>
                                <w:r>
                                  <w:rPr>
                                    <w:lang w:val="en-US"/>
                                  </w:rPr>
                                  <w:t>EPS</w:t>
                                </w:r>
                              </w:p>
                            </w:tc>
                            <w:tc>
                              <w:tcPr>
                                <w:tcW w:w="2440" w:type="dxa"/>
                              </w:tcPr>
                              <w:p w14:paraId="556AD865" w14:textId="244C54AF" w:rsidR="00FB1BA6" w:rsidRDefault="00FB1BA6" w:rsidP="00CF20BB">
                                <w:pPr>
                                  <w:rPr>
                                    <w:lang w:val="en-US"/>
                                  </w:rPr>
                                </w:pPr>
                                <w:r>
                                  <w:rPr>
                                    <w:lang w:val="en-US"/>
                                  </w:rPr>
                                  <w:t>$1.23</w:t>
                                </w:r>
                              </w:p>
                            </w:tc>
                          </w:tr>
                          <w:tr w:rsidR="00FB1BA6" w14:paraId="59C37FDC" w14:textId="77777777" w:rsidTr="00FB1BA6">
                            <w:tc>
                              <w:tcPr>
                                <w:tcW w:w="2442" w:type="dxa"/>
                              </w:tcPr>
                              <w:p w14:paraId="37B30433" w14:textId="37981DE3" w:rsidR="00FB1BA6" w:rsidRDefault="00FB1BA6" w:rsidP="00CF20BB">
                                <w:pPr>
                                  <w:rPr>
                                    <w:lang w:val="en-US"/>
                                  </w:rPr>
                                </w:pPr>
                                <w:r>
                                  <w:rPr>
                                    <w:lang w:val="en-US"/>
                                  </w:rPr>
                                  <w:t>Dividend Yield</w:t>
                                </w:r>
                              </w:p>
                            </w:tc>
                            <w:tc>
                              <w:tcPr>
                                <w:tcW w:w="2440" w:type="dxa"/>
                              </w:tcPr>
                              <w:p w14:paraId="69B4D7B1" w14:textId="47A11633" w:rsidR="00FB1BA6" w:rsidRDefault="00FB1BA6" w:rsidP="00CF20BB">
                                <w:pPr>
                                  <w:rPr>
                                    <w:lang w:val="en-US"/>
                                  </w:rPr>
                                </w:pPr>
                                <w:r>
                                  <w:rPr>
                                    <w:lang w:val="en-US"/>
                                  </w:rPr>
                                  <w:t>19.94%</w:t>
                                </w:r>
                              </w:p>
                            </w:tc>
                          </w:tr>
                        </w:tbl>
                        <w:p w14:paraId="70FC60BA" w14:textId="51FF5481" w:rsidR="00CF20BB" w:rsidRDefault="000B792A" w:rsidP="000B792A">
                          <w:pPr>
                            <w:jc w:val="center"/>
                            <w:rPr>
                              <w:lang w:val="en-US"/>
                            </w:rPr>
                          </w:pPr>
                          <w:r>
                            <w:rPr>
                              <w:lang w:val="en-US"/>
                            </w:rPr>
                            <w:t>Source: Bloomberg</w:t>
                          </w:r>
                        </w:p>
                        <w:p w14:paraId="4D90C1BE" w14:textId="77777777" w:rsidR="00CF20BB" w:rsidRDefault="00CF20BB" w:rsidP="00CF20BB">
                          <w:pPr>
                            <w:rPr>
                              <w:b/>
                              <w:bCs/>
                              <w:lang w:val="en-US"/>
                            </w:rPr>
                          </w:pPr>
                        </w:p>
                        <w:p w14:paraId="67840E43" w14:textId="1B8DDDA1" w:rsidR="00CF20BB" w:rsidRDefault="00FB1BA6" w:rsidP="00CF20BB">
                          <w:pPr>
                            <w:rPr>
                              <w:lang w:val="en-US"/>
                            </w:rPr>
                          </w:pPr>
                          <w:r>
                            <w:rPr>
                              <w:lang w:val="en-US"/>
                            </w:rPr>
                            <w:t xml:space="preserve">Diana Shipping </w:t>
                          </w:r>
                          <w:r w:rsidR="00E73CCE">
                            <w:rPr>
                              <w:lang w:val="en-US"/>
                            </w:rPr>
                            <w:t xml:space="preserve">Corporation (DSX) has performed relatively strongly in the last year but uncertainty regarding future economic climate has caused the price to decline. </w:t>
                          </w:r>
                        </w:p>
                        <w:p w14:paraId="2C7C370A" w14:textId="34585466" w:rsidR="00E73CCE" w:rsidRDefault="00E73CCE" w:rsidP="00CF20BB">
                          <w:pPr>
                            <w:rPr>
                              <w:lang w:val="en-US"/>
                            </w:rPr>
                          </w:pPr>
                        </w:p>
                        <w:p w14:paraId="3BAA97C2" w14:textId="6DF336AD" w:rsidR="00E73CCE" w:rsidRPr="00A35FF2" w:rsidRDefault="00E73CCE" w:rsidP="00CF20BB">
                          <w:pPr>
                            <w:rPr>
                              <w:lang w:val="en-US"/>
                            </w:rPr>
                          </w:pPr>
                          <w:r>
                            <w:rPr>
                              <w:lang w:val="en-US"/>
                            </w:rPr>
                            <w:t xml:space="preserve">The company specialize in bareboat charter hire which means they act more as a leasing company to customers than providing a service. Given the fact that they have not to worry about fuel crises and labor shortages they have remained insulated from pressures within the industry in recent quarters. However, with such comfort has come lower revenue compared to others that offer a more comprehensive service. Their expansive CAPEX investment in 2022 is reflective of their intention to reach previous fleet size highs with the extra windfall resulting from high charter prices during the covid era. </w:t>
                          </w:r>
                        </w:p>
                      </w:txbxContent>
                    </v:textbox>
                  </v:shape>
                </w:pict>
              </mc:Fallback>
            </mc:AlternateContent>
          </w:r>
          <w:r w:rsidR="000B792A">
            <w:rPr>
              <w:noProof/>
            </w:rPr>
            <mc:AlternateContent>
              <mc:Choice Requires="wps">
                <w:drawing>
                  <wp:anchor distT="0" distB="0" distL="114300" distR="114300" simplePos="0" relativeHeight="251696128" behindDoc="0" locked="0" layoutInCell="1" allowOverlap="1" wp14:anchorId="016316D2" wp14:editId="4B855ED9">
                    <wp:simplePos x="0" y="0"/>
                    <wp:positionH relativeFrom="column">
                      <wp:posOffset>361950</wp:posOffset>
                    </wp:positionH>
                    <wp:positionV relativeFrom="paragraph">
                      <wp:posOffset>6696075</wp:posOffset>
                    </wp:positionV>
                    <wp:extent cx="1962150" cy="241300"/>
                    <wp:effectExtent l="0" t="0" r="0" b="6350"/>
                    <wp:wrapNone/>
                    <wp:docPr id="11" name="Text Box 11"/>
                    <wp:cNvGraphicFramePr/>
                    <a:graphic xmlns:a="http://schemas.openxmlformats.org/drawingml/2006/main">
                      <a:graphicData uri="http://schemas.microsoft.com/office/word/2010/wordprocessingShape">
                        <wps:wsp>
                          <wps:cNvSpPr txBox="1"/>
                          <wps:spPr>
                            <a:xfrm>
                              <a:off x="0" y="0"/>
                              <a:ext cx="1962150" cy="2413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8EDAE82" w14:textId="2B2DF37D" w:rsidR="000B792A" w:rsidRPr="00206191" w:rsidRDefault="000B792A">
                                <w:pPr>
                                  <w:rPr>
                                    <w:b/>
                                    <w:bCs/>
                                    <w:lang w:val="en-US"/>
                                  </w:rPr>
                                </w:pPr>
                                <w:r w:rsidRPr="00206191">
                                  <w:rPr>
                                    <w:b/>
                                    <w:bCs/>
                                    <w:lang w:val="en-US"/>
                                  </w:rPr>
                                  <w:t xml:space="preserve">Source: </w:t>
                                </w:r>
                                <w:r w:rsidR="00206191" w:rsidRPr="00206191">
                                  <w:rPr>
                                    <w:b/>
                                    <w:bCs/>
                                    <w:lang w:val="en-US"/>
                                  </w:rPr>
                                  <w:t>Own Calculations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6316D2" id="Text Box 11" o:spid="_x0000_s1029" type="#_x0000_t202" style="position:absolute;margin-left:28.5pt;margin-top:527.25pt;width:154.5pt;height:19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n61jaAIAADYFAAAOAAAAZHJzL2Uyb0RvYy54bWysVN9P2zAQfp+0/8Hy+0hbChsVKepATJPQ&#13;&#10;QIOJZ9ex22iOzztfm3R//c5OUxjbC9NeEvt+33ff+fyia5zYGow1+FKOj0ZSGK+hqv2qlN8ert99&#13;&#10;kCKS8pVy4E0pdybKi/nbN+dtmJkJrMFVBgUH8XHWhlKuicKsKKJem0bFIwjGs9ICNor4iquiQtVy&#13;&#10;9MYVk9HotGgBq4CgTYwsveqVcp7jW2s03VobDQlXSq6N8hfzd5m+xfxczVaowrrW+zLUP1TRqNpz&#13;&#10;0kOoK0VKbLD+I1RTa4QIlo40NAVYW2uTe+BuxqMX3dyvVTC5FwYnhgNM8f+F1V+29+EOBXUfoeMB&#13;&#10;JkDaEGeRhamfzmKT/lypYD1DuDvAZjoSOjmdnU7GJ6zSrJtMx8ejjGvx5B0w0icDjUiHUiKPJaOl&#13;&#10;tjeROCObDiYpmYfr2rk8Gud/E7BhkhRPJeYT7ZxJds5/NVbUVa40CaLG1fLSoehHzpzkMofB52Ds&#13;&#10;kAwtJ3yl794leZvMtFf6H5xyfvB08G9qD5gByntgUgNbxQyuvucBceG2tx+g6AFIWFC37BiBUh4P&#13;&#10;o1xCteMJI/Tkj0Ff1zyGGxXpTiGznSHhDaZb/lgHbSlhf5JiDfjzb/JkzyRkrRQtb08p44+NQiOF&#13;&#10;++yZnmfj6ZTDUr5MT95P+ILPNcvnGr9pLoHbG/NbEXQ+Jntyw9EiNI+86IuUlVXKa85dShqOl9QP&#13;&#10;mB8KbRaLbMQLFhTd+PugU+iEciLZQ/eoMOyZSMzhLzDsmZq9IGRvmzw9LDYEts5sTTj3qO7x5+XM&#13;&#10;JN4/JGn7n9+z1dNzN/8FAAD//wMAUEsDBBQABgAIAAAAIQAOaTdH4wAAABEBAAAPAAAAZHJzL2Rv&#13;&#10;d25yZXYueG1sTI9PT8MwDMXvSHyHyEjcWMJYCuuaToiJK2jjj8Qta7y2onGqJlvLt8c7wcWSn+3n&#13;&#10;9yvWk+/ECYfYBjJwO1MgkKrgWqoNvL893zyAiMmSs10gNPCDEdbl5UVhcxdG2uJpl2rBJhRza6BJ&#13;&#10;qc+ljFWD3sZZ6JF4dgiDt4nboZZusCOb+07Olcqkty3xh8b2+NRg9b07egMfL4evz4V6rTde92OY&#13;&#10;lCS/lMZcX02bFZfHFYiEU/q7gDMD54eSg+3DkVwUnQF9zzyJdaUXGgRv3GUZS/uztJxrkGUh/5OU&#13;&#10;vwAAAP//AwBQSwECLQAUAAYACAAAACEAtoM4kv4AAADhAQAAEwAAAAAAAAAAAAAAAAAAAAAAW0Nv&#13;&#10;bnRlbnRfVHlwZXNdLnhtbFBLAQItABQABgAIAAAAIQA4/SH/1gAAAJQBAAALAAAAAAAAAAAAAAAA&#13;&#10;AC8BAABfcmVscy8ucmVsc1BLAQItABQABgAIAAAAIQAXn61jaAIAADYFAAAOAAAAAAAAAAAAAAAA&#13;&#10;AC4CAABkcnMvZTJvRG9jLnhtbFBLAQItABQABgAIAAAAIQAOaTdH4wAAABEBAAAPAAAAAAAAAAAA&#13;&#10;AAAAAMIEAABkcnMvZG93bnJldi54bWxQSwUGAAAAAAQABADzAAAA0gUAAAAA&#13;&#10;" filled="f" stroked="f">
                    <v:textbox>
                      <w:txbxContent>
                        <w:p w14:paraId="68EDAE82" w14:textId="2B2DF37D" w:rsidR="000B792A" w:rsidRPr="00206191" w:rsidRDefault="000B792A">
                          <w:pPr>
                            <w:rPr>
                              <w:b/>
                              <w:bCs/>
                              <w:lang w:val="en-US"/>
                            </w:rPr>
                          </w:pPr>
                          <w:r w:rsidRPr="00206191">
                            <w:rPr>
                              <w:b/>
                              <w:bCs/>
                              <w:lang w:val="en-US"/>
                            </w:rPr>
                            <w:t xml:space="preserve">Source: </w:t>
                          </w:r>
                          <w:r w:rsidR="00206191" w:rsidRPr="00206191">
                            <w:rPr>
                              <w:b/>
                              <w:bCs/>
                              <w:lang w:val="en-US"/>
                            </w:rPr>
                            <w:t>Own Calculations</w:t>
                          </w:r>
                        </w:p>
                      </w:txbxContent>
                    </v:textbox>
                  </v:shape>
                </w:pict>
              </mc:Fallback>
            </mc:AlternateContent>
          </w:r>
          <w:r w:rsidR="00CF20BB" w:rsidRPr="0051128F">
            <w:rPr>
              <w:rFonts w:ascii="Times New Roman" w:hAnsi="Times New Roman" w:cs="Times New Roman"/>
              <w:b/>
              <w:bCs/>
            </w:rPr>
            <w:br w:type="page"/>
          </w:r>
        </w:p>
        <w:bookmarkStart w:id="0" w:name="_Toc121096857" w:displacedByCustomXml="next"/>
        <w:sdt>
          <w:sdtPr>
            <w:rPr>
              <w:rFonts w:asciiTheme="minorHAnsi" w:eastAsiaTheme="minorHAnsi" w:hAnsiTheme="minorHAnsi" w:cstheme="minorBidi"/>
              <w:color w:val="auto"/>
              <w:sz w:val="24"/>
              <w:szCs w:val="24"/>
            </w:rPr>
            <w:id w:val="-303001705"/>
            <w:docPartObj>
              <w:docPartGallery w:val="Table of Contents"/>
              <w:docPartUnique/>
            </w:docPartObj>
          </w:sdtPr>
          <w:sdtEndPr>
            <w:rPr>
              <w:b/>
              <w:bCs/>
              <w:noProof/>
            </w:rPr>
          </w:sdtEndPr>
          <w:sdtContent>
            <w:p w14:paraId="59995E39" w14:textId="7BFEBF2C" w:rsidR="003B0593" w:rsidRDefault="003B0593" w:rsidP="003B48CB">
              <w:pPr>
                <w:pStyle w:val="Heading1"/>
              </w:pPr>
              <w:r>
                <w:t>Contents</w:t>
              </w:r>
              <w:bookmarkEnd w:id="0"/>
            </w:p>
            <w:p w14:paraId="7214F862" w14:textId="07952134" w:rsidR="00E050E3" w:rsidRDefault="003B0593">
              <w:pPr>
                <w:pStyle w:val="TOC1"/>
                <w:tabs>
                  <w:tab w:val="right" w:leader="dot" w:pos="9010"/>
                </w:tabs>
                <w:rPr>
                  <w:rFonts w:eastAsiaTheme="minorEastAsia"/>
                  <w:noProof/>
                  <w:sz w:val="22"/>
                  <w:szCs w:val="22"/>
                  <w:lang w:val="en-IN" w:eastAsia="en-IN"/>
                </w:rPr>
              </w:pPr>
              <w:r>
                <w:fldChar w:fldCharType="begin"/>
              </w:r>
              <w:r>
                <w:instrText xml:space="preserve"> TOC \o "1-3" \h \z \u </w:instrText>
              </w:r>
              <w:r>
                <w:fldChar w:fldCharType="separate"/>
              </w:r>
              <w:hyperlink w:anchor="_Toc121096857" w:history="1">
                <w:r w:rsidR="00E050E3" w:rsidRPr="00C34A4E">
                  <w:rPr>
                    <w:rStyle w:val="Hyperlink"/>
                    <w:noProof/>
                  </w:rPr>
                  <w:t>Contents</w:t>
                </w:r>
                <w:r w:rsidR="00E050E3">
                  <w:rPr>
                    <w:noProof/>
                    <w:webHidden/>
                  </w:rPr>
                  <w:tab/>
                </w:r>
                <w:r w:rsidR="00E050E3">
                  <w:rPr>
                    <w:noProof/>
                    <w:webHidden/>
                  </w:rPr>
                  <w:fldChar w:fldCharType="begin"/>
                </w:r>
                <w:r w:rsidR="00E050E3">
                  <w:rPr>
                    <w:noProof/>
                    <w:webHidden/>
                  </w:rPr>
                  <w:instrText xml:space="preserve"> PAGEREF _Toc121096857 \h </w:instrText>
                </w:r>
                <w:r w:rsidR="00E050E3">
                  <w:rPr>
                    <w:noProof/>
                    <w:webHidden/>
                  </w:rPr>
                </w:r>
                <w:r w:rsidR="00E050E3">
                  <w:rPr>
                    <w:noProof/>
                    <w:webHidden/>
                  </w:rPr>
                  <w:fldChar w:fldCharType="separate"/>
                </w:r>
                <w:r w:rsidR="00EA0493">
                  <w:rPr>
                    <w:noProof/>
                    <w:webHidden/>
                  </w:rPr>
                  <w:t>2</w:t>
                </w:r>
                <w:r w:rsidR="00E050E3">
                  <w:rPr>
                    <w:noProof/>
                    <w:webHidden/>
                  </w:rPr>
                  <w:fldChar w:fldCharType="end"/>
                </w:r>
              </w:hyperlink>
            </w:p>
            <w:p w14:paraId="2989B599" w14:textId="49062D55" w:rsidR="00E050E3" w:rsidRDefault="00000000">
              <w:pPr>
                <w:pStyle w:val="TOC1"/>
                <w:tabs>
                  <w:tab w:val="right" w:leader="dot" w:pos="9010"/>
                </w:tabs>
                <w:rPr>
                  <w:rFonts w:eastAsiaTheme="minorEastAsia"/>
                  <w:noProof/>
                  <w:sz w:val="22"/>
                  <w:szCs w:val="22"/>
                  <w:lang w:val="en-IN" w:eastAsia="en-IN"/>
                </w:rPr>
              </w:pPr>
              <w:hyperlink w:anchor="_Toc121096858" w:history="1">
                <w:r w:rsidR="00E050E3" w:rsidRPr="00C34A4E">
                  <w:rPr>
                    <w:rStyle w:val="Hyperlink"/>
                    <w:noProof/>
                    <w:lang w:val="en-US"/>
                  </w:rPr>
                  <w:t>Company Overview</w:t>
                </w:r>
                <w:r w:rsidR="00E050E3">
                  <w:rPr>
                    <w:noProof/>
                    <w:webHidden/>
                  </w:rPr>
                  <w:tab/>
                </w:r>
                <w:r w:rsidR="00E050E3">
                  <w:rPr>
                    <w:noProof/>
                    <w:webHidden/>
                  </w:rPr>
                  <w:fldChar w:fldCharType="begin"/>
                </w:r>
                <w:r w:rsidR="00E050E3">
                  <w:rPr>
                    <w:noProof/>
                    <w:webHidden/>
                  </w:rPr>
                  <w:instrText xml:space="preserve"> PAGEREF _Toc121096858 \h </w:instrText>
                </w:r>
                <w:r w:rsidR="00E050E3">
                  <w:rPr>
                    <w:noProof/>
                    <w:webHidden/>
                  </w:rPr>
                </w:r>
                <w:r w:rsidR="00E050E3">
                  <w:rPr>
                    <w:noProof/>
                    <w:webHidden/>
                  </w:rPr>
                  <w:fldChar w:fldCharType="separate"/>
                </w:r>
                <w:r w:rsidR="00EA0493">
                  <w:rPr>
                    <w:noProof/>
                    <w:webHidden/>
                  </w:rPr>
                  <w:t>3</w:t>
                </w:r>
                <w:r w:rsidR="00E050E3">
                  <w:rPr>
                    <w:noProof/>
                    <w:webHidden/>
                  </w:rPr>
                  <w:fldChar w:fldCharType="end"/>
                </w:r>
              </w:hyperlink>
            </w:p>
            <w:p w14:paraId="23087AF0" w14:textId="376E3BA8" w:rsidR="00E050E3" w:rsidRDefault="00000000">
              <w:pPr>
                <w:pStyle w:val="TOC1"/>
                <w:tabs>
                  <w:tab w:val="right" w:leader="dot" w:pos="9010"/>
                </w:tabs>
                <w:rPr>
                  <w:rFonts w:eastAsiaTheme="minorEastAsia"/>
                  <w:noProof/>
                  <w:sz w:val="22"/>
                  <w:szCs w:val="22"/>
                  <w:lang w:val="en-IN" w:eastAsia="en-IN"/>
                </w:rPr>
              </w:pPr>
              <w:hyperlink w:anchor="_Toc121096859" w:history="1">
                <w:r w:rsidR="00E050E3" w:rsidRPr="00C34A4E">
                  <w:rPr>
                    <w:rStyle w:val="Hyperlink"/>
                    <w:noProof/>
                    <w:lang w:val="en-US"/>
                  </w:rPr>
                  <w:t>Revenue</w:t>
                </w:r>
                <w:r w:rsidR="00E050E3">
                  <w:rPr>
                    <w:noProof/>
                    <w:webHidden/>
                  </w:rPr>
                  <w:tab/>
                </w:r>
                <w:r w:rsidR="00E050E3">
                  <w:rPr>
                    <w:noProof/>
                    <w:webHidden/>
                  </w:rPr>
                  <w:fldChar w:fldCharType="begin"/>
                </w:r>
                <w:r w:rsidR="00E050E3">
                  <w:rPr>
                    <w:noProof/>
                    <w:webHidden/>
                  </w:rPr>
                  <w:instrText xml:space="preserve"> PAGEREF _Toc121096859 \h </w:instrText>
                </w:r>
                <w:r w:rsidR="00E050E3">
                  <w:rPr>
                    <w:noProof/>
                    <w:webHidden/>
                  </w:rPr>
                </w:r>
                <w:r w:rsidR="00E050E3">
                  <w:rPr>
                    <w:noProof/>
                    <w:webHidden/>
                  </w:rPr>
                  <w:fldChar w:fldCharType="separate"/>
                </w:r>
                <w:r w:rsidR="00EA0493">
                  <w:rPr>
                    <w:noProof/>
                    <w:webHidden/>
                  </w:rPr>
                  <w:t>4</w:t>
                </w:r>
                <w:r w:rsidR="00E050E3">
                  <w:rPr>
                    <w:noProof/>
                    <w:webHidden/>
                  </w:rPr>
                  <w:fldChar w:fldCharType="end"/>
                </w:r>
              </w:hyperlink>
            </w:p>
            <w:p w14:paraId="17610030" w14:textId="05B0A3B6" w:rsidR="00E050E3" w:rsidRDefault="00000000">
              <w:pPr>
                <w:pStyle w:val="TOC2"/>
                <w:tabs>
                  <w:tab w:val="right" w:leader="dot" w:pos="9010"/>
                </w:tabs>
                <w:rPr>
                  <w:rFonts w:eastAsiaTheme="minorEastAsia"/>
                  <w:noProof/>
                  <w:sz w:val="22"/>
                  <w:szCs w:val="22"/>
                  <w:lang w:val="en-IN" w:eastAsia="en-IN"/>
                </w:rPr>
              </w:pPr>
              <w:hyperlink w:anchor="_Toc121096860" w:history="1">
                <w:r w:rsidR="00E050E3" w:rsidRPr="00C34A4E">
                  <w:rPr>
                    <w:rStyle w:val="Hyperlink"/>
                    <w:noProof/>
                  </w:rPr>
                  <w:t>Calculating Q4 Revenue</w:t>
                </w:r>
                <w:r w:rsidR="00E050E3">
                  <w:rPr>
                    <w:noProof/>
                    <w:webHidden/>
                  </w:rPr>
                  <w:tab/>
                </w:r>
                <w:r w:rsidR="00E050E3">
                  <w:rPr>
                    <w:noProof/>
                    <w:webHidden/>
                  </w:rPr>
                  <w:fldChar w:fldCharType="begin"/>
                </w:r>
                <w:r w:rsidR="00E050E3">
                  <w:rPr>
                    <w:noProof/>
                    <w:webHidden/>
                  </w:rPr>
                  <w:instrText xml:space="preserve"> PAGEREF _Toc121096860 \h </w:instrText>
                </w:r>
                <w:r w:rsidR="00E050E3">
                  <w:rPr>
                    <w:noProof/>
                    <w:webHidden/>
                  </w:rPr>
                </w:r>
                <w:r w:rsidR="00E050E3">
                  <w:rPr>
                    <w:noProof/>
                    <w:webHidden/>
                  </w:rPr>
                  <w:fldChar w:fldCharType="separate"/>
                </w:r>
                <w:r w:rsidR="00EA0493">
                  <w:rPr>
                    <w:noProof/>
                    <w:webHidden/>
                  </w:rPr>
                  <w:t>4</w:t>
                </w:r>
                <w:r w:rsidR="00E050E3">
                  <w:rPr>
                    <w:noProof/>
                    <w:webHidden/>
                  </w:rPr>
                  <w:fldChar w:fldCharType="end"/>
                </w:r>
              </w:hyperlink>
            </w:p>
            <w:p w14:paraId="7F50F159" w14:textId="622DA557" w:rsidR="00E050E3" w:rsidRDefault="00000000">
              <w:pPr>
                <w:pStyle w:val="TOC2"/>
                <w:tabs>
                  <w:tab w:val="right" w:leader="dot" w:pos="9010"/>
                </w:tabs>
                <w:rPr>
                  <w:rFonts w:eastAsiaTheme="minorEastAsia"/>
                  <w:noProof/>
                  <w:sz w:val="22"/>
                  <w:szCs w:val="22"/>
                  <w:lang w:val="en-IN" w:eastAsia="en-IN"/>
                </w:rPr>
              </w:pPr>
              <w:hyperlink w:anchor="_Toc121096861" w:history="1">
                <w:r w:rsidR="00E050E3" w:rsidRPr="00C34A4E">
                  <w:rPr>
                    <w:rStyle w:val="Hyperlink"/>
                    <w:noProof/>
                    <w:lang w:val="en-US"/>
                  </w:rPr>
                  <w:t>Capital Expenditure</w:t>
                </w:r>
                <w:r w:rsidR="00E050E3">
                  <w:rPr>
                    <w:noProof/>
                    <w:webHidden/>
                  </w:rPr>
                  <w:tab/>
                </w:r>
                <w:r w:rsidR="00E050E3">
                  <w:rPr>
                    <w:noProof/>
                    <w:webHidden/>
                  </w:rPr>
                  <w:fldChar w:fldCharType="begin"/>
                </w:r>
                <w:r w:rsidR="00E050E3">
                  <w:rPr>
                    <w:noProof/>
                    <w:webHidden/>
                  </w:rPr>
                  <w:instrText xml:space="preserve"> PAGEREF _Toc121096861 \h </w:instrText>
                </w:r>
                <w:r w:rsidR="00E050E3">
                  <w:rPr>
                    <w:noProof/>
                    <w:webHidden/>
                  </w:rPr>
                </w:r>
                <w:r w:rsidR="00E050E3">
                  <w:rPr>
                    <w:noProof/>
                    <w:webHidden/>
                  </w:rPr>
                  <w:fldChar w:fldCharType="separate"/>
                </w:r>
                <w:r w:rsidR="00EA0493">
                  <w:rPr>
                    <w:noProof/>
                    <w:webHidden/>
                  </w:rPr>
                  <w:t>7</w:t>
                </w:r>
                <w:r w:rsidR="00E050E3">
                  <w:rPr>
                    <w:noProof/>
                    <w:webHidden/>
                  </w:rPr>
                  <w:fldChar w:fldCharType="end"/>
                </w:r>
              </w:hyperlink>
            </w:p>
            <w:p w14:paraId="5F47E136" w14:textId="327101F6" w:rsidR="00E050E3" w:rsidRDefault="00000000">
              <w:pPr>
                <w:pStyle w:val="TOC1"/>
                <w:tabs>
                  <w:tab w:val="right" w:leader="dot" w:pos="9010"/>
                </w:tabs>
                <w:rPr>
                  <w:rFonts w:eastAsiaTheme="minorEastAsia"/>
                  <w:noProof/>
                  <w:sz w:val="22"/>
                  <w:szCs w:val="22"/>
                  <w:lang w:val="en-IN" w:eastAsia="en-IN"/>
                </w:rPr>
              </w:pPr>
              <w:hyperlink w:anchor="_Toc121096862" w:history="1">
                <w:r w:rsidR="00E050E3" w:rsidRPr="00C34A4E">
                  <w:rPr>
                    <w:rStyle w:val="Hyperlink"/>
                    <w:noProof/>
                  </w:rPr>
                  <w:t>Cost of Goods Sold</w:t>
                </w:r>
                <w:r w:rsidR="00E050E3">
                  <w:rPr>
                    <w:noProof/>
                    <w:webHidden/>
                  </w:rPr>
                  <w:tab/>
                </w:r>
                <w:r w:rsidR="00E050E3">
                  <w:rPr>
                    <w:noProof/>
                    <w:webHidden/>
                  </w:rPr>
                  <w:fldChar w:fldCharType="begin"/>
                </w:r>
                <w:r w:rsidR="00E050E3">
                  <w:rPr>
                    <w:noProof/>
                    <w:webHidden/>
                  </w:rPr>
                  <w:instrText xml:space="preserve"> PAGEREF _Toc121096862 \h </w:instrText>
                </w:r>
                <w:r w:rsidR="00E050E3">
                  <w:rPr>
                    <w:noProof/>
                    <w:webHidden/>
                  </w:rPr>
                </w:r>
                <w:r w:rsidR="00E050E3">
                  <w:rPr>
                    <w:noProof/>
                    <w:webHidden/>
                  </w:rPr>
                  <w:fldChar w:fldCharType="separate"/>
                </w:r>
                <w:r w:rsidR="00EA0493">
                  <w:rPr>
                    <w:noProof/>
                    <w:webHidden/>
                  </w:rPr>
                  <w:t>9</w:t>
                </w:r>
                <w:r w:rsidR="00E050E3">
                  <w:rPr>
                    <w:noProof/>
                    <w:webHidden/>
                  </w:rPr>
                  <w:fldChar w:fldCharType="end"/>
                </w:r>
              </w:hyperlink>
            </w:p>
            <w:p w14:paraId="6397B473" w14:textId="23C8124F" w:rsidR="00E050E3" w:rsidRDefault="00000000">
              <w:pPr>
                <w:pStyle w:val="TOC1"/>
                <w:tabs>
                  <w:tab w:val="right" w:leader="dot" w:pos="9010"/>
                </w:tabs>
                <w:rPr>
                  <w:rFonts w:eastAsiaTheme="minorEastAsia"/>
                  <w:noProof/>
                  <w:sz w:val="22"/>
                  <w:szCs w:val="22"/>
                  <w:lang w:val="en-IN" w:eastAsia="en-IN"/>
                </w:rPr>
              </w:pPr>
              <w:hyperlink w:anchor="_Toc121096863" w:history="1">
                <w:r w:rsidR="00E050E3" w:rsidRPr="00C34A4E">
                  <w:rPr>
                    <w:rStyle w:val="Hyperlink"/>
                    <w:noProof/>
                  </w:rPr>
                  <w:t>Selling, General &amp; Admin Expenses</w:t>
                </w:r>
                <w:r w:rsidR="00E050E3">
                  <w:rPr>
                    <w:noProof/>
                    <w:webHidden/>
                  </w:rPr>
                  <w:tab/>
                </w:r>
                <w:r w:rsidR="00E050E3">
                  <w:rPr>
                    <w:noProof/>
                    <w:webHidden/>
                  </w:rPr>
                  <w:fldChar w:fldCharType="begin"/>
                </w:r>
                <w:r w:rsidR="00E050E3">
                  <w:rPr>
                    <w:noProof/>
                    <w:webHidden/>
                  </w:rPr>
                  <w:instrText xml:space="preserve"> PAGEREF _Toc121096863 \h </w:instrText>
                </w:r>
                <w:r w:rsidR="00E050E3">
                  <w:rPr>
                    <w:noProof/>
                    <w:webHidden/>
                  </w:rPr>
                </w:r>
                <w:r w:rsidR="00E050E3">
                  <w:rPr>
                    <w:noProof/>
                    <w:webHidden/>
                  </w:rPr>
                  <w:fldChar w:fldCharType="separate"/>
                </w:r>
                <w:r w:rsidR="00EA0493">
                  <w:rPr>
                    <w:noProof/>
                    <w:webHidden/>
                  </w:rPr>
                  <w:t>10</w:t>
                </w:r>
                <w:r w:rsidR="00E050E3">
                  <w:rPr>
                    <w:noProof/>
                    <w:webHidden/>
                  </w:rPr>
                  <w:fldChar w:fldCharType="end"/>
                </w:r>
              </w:hyperlink>
            </w:p>
            <w:p w14:paraId="4DF285D4" w14:textId="556376CA" w:rsidR="00E050E3" w:rsidRDefault="00000000">
              <w:pPr>
                <w:pStyle w:val="TOC1"/>
                <w:tabs>
                  <w:tab w:val="right" w:leader="dot" w:pos="9010"/>
                </w:tabs>
                <w:rPr>
                  <w:rFonts w:eastAsiaTheme="minorEastAsia"/>
                  <w:noProof/>
                  <w:sz w:val="22"/>
                  <w:szCs w:val="22"/>
                  <w:lang w:val="en-IN" w:eastAsia="en-IN"/>
                </w:rPr>
              </w:pPr>
              <w:hyperlink w:anchor="_Toc121096864" w:history="1">
                <w:r w:rsidR="00E050E3" w:rsidRPr="00C34A4E">
                  <w:rPr>
                    <w:rStyle w:val="Hyperlink"/>
                    <w:noProof/>
                  </w:rPr>
                  <w:t>Depreciation</w:t>
                </w:r>
                <w:r w:rsidR="00E050E3">
                  <w:rPr>
                    <w:noProof/>
                    <w:webHidden/>
                  </w:rPr>
                  <w:tab/>
                </w:r>
                <w:r w:rsidR="00E050E3">
                  <w:rPr>
                    <w:noProof/>
                    <w:webHidden/>
                  </w:rPr>
                  <w:fldChar w:fldCharType="begin"/>
                </w:r>
                <w:r w:rsidR="00E050E3">
                  <w:rPr>
                    <w:noProof/>
                    <w:webHidden/>
                  </w:rPr>
                  <w:instrText xml:space="preserve"> PAGEREF _Toc121096864 \h </w:instrText>
                </w:r>
                <w:r w:rsidR="00E050E3">
                  <w:rPr>
                    <w:noProof/>
                    <w:webHidden/>
                  </w:rPr>
                </w:r>
                <w:r w:rsidR="00E050E3">
                  <w:rPr>
                    <w:noProof/>
                    <w:webHidden/>
                  </w:rPr>
                  <w:fldChar w:fldCharType="separate"/>
                </w:r>
                <w:r w:rsidR="00EA0493">
                  <w:rPr>
                    <w:noProof/>
                    <w:webHidden/>
                  </w:rPr>
                  <w:t>10</w:t>
                </w:r>
                <w:r w:rsidR="00E050E3">
                  <w:rPr>
                    <w:noProof/>
                    <w:webHidden/>
                  </w:rPr>
                  <w:fldChar w:fldCharType="end"/>
                </w:r>
              </w:hyperlink>
            </w:p>
            <w:p w14:paraId="6C04FEFD" w14:textId="67A5964D" w:rsidR="00E050E3" w:rsidRDefault="00000000">
              <w:pPr>
                <w:pStyle w:val="TOC1"/>
                <w:tabs>
                  <w:tab w:val="right" w:leader="dot" w:pos="9010"/>
                </w:tabs>
                <w:rPr>
                  <w:rFonts w:eastAsiaTheme="minorEastAsia"/>
                  <w:noProof/>
                  <w:sz w:val="22"/>
                  <w:szCs w:val="22"/>
                  <w:lang w:val="en-IN" w:eastAsia="en-IN"/>
                </w:rPr>
              </w:pPr>
              <w:hyperlink w:anchor="_Toc121096865" w:history="1">
                <w:r w:rsidR="00E050E3" w:rsidRPr="00C34A4E">
                  <w:rPr>
                    <w:rStyle w:val="Hyperlink"/>
                    <w:noProof/>
                  </w:rPr>
                  <w:t>Earnings Before Interest &amp; Taxes</w:t>
                </w:r>
                <w:r w:rsidR="00E050E3">
                  <w:rPr>
                    <w:noProof/>
                    <w:webHidden/>
                  </w:rPr>
                  <w:tab/>
                </w:r>
                <w:r w:rsidR="00E050E3">
                  <w:rPr>
                    <w:noProof/>
                    <w:webHidden/>
                  </w:rPr>
                  <w:fldChar w:fldCharType="begin"/>
                </w:r>
                <w:r w:rsidR="00E050E3">
                  <w:rPr>
                    <w:noProof/>
                    <w:webHidden/>
                  </w:rPr>
                  <w:instrText xml:space="preserve"> PAGEREF _Toc121096865 \h </w:instrText>
                </w:r>
                <w:r w:rsidR="00E050E3">
                  <w:rPr>
                    <w:noProof/>
                    <w:webHidden/>
                  </w:rPr>
                </w:r>
                <w:r w:rsidR="00E050E3">
                  <w:rPr>
                    <w:noProof/>
                    <w:webHidden/>
                  </w:rPr>
                  <w:fldChar w:fldCharType="separate"/>
                </w:r>
                <w:r w:rsidR="00EA0493">
                  <w:rPr>
                    <w:noProof/>
                    <w:webHidden/>
                  </w:rPr>
                  <w:t>11</w:t>
                </w:r>
                <w:r w:rsidR="00E050E3">
                  <w:rPr>
                    <w:noProof/>
                    <w:webHidden/>
                  </w:rPr>
                  <w:fldChar w:fldCharType="end"/>
                </w:r>
              </w:hyperlink>
            </w:p>
            <w:p w14:paraId="16B71C1C" w14:textId="2193BF86" w:rsidR="00E050E3" w:rsidRDefault="00000000">
              <w:pPr>
                <w:pStyle w:val="TOC1"/>
                <w:tabs>
                  <w:tab w:val="right" w:leader="dot" w:pos="9010"/>
                </w:tabs>
                <w:rPr>
                  <w:rFonts w:eastAsiaTheme="minorEastAsia"/>
                  <w:noProof/>
                  <w:sz w:val="22"/>
                  <w:szCs w:val="22"/>
                  <w:lang w:val="en-IN" w:eastAsia="en-IN"/>
                </w:rPr>
              </w:pPr>
              <w:hyperlink w:anchor="_Toc121096866" w:history="1">
                <w:r w:rsidR="00E050E3" w:rsidRPr="00C34A4E">
                  <w:rPr>
                    <w:rStyle w:val="Hyperlink"/>
                    <w:noProof/>
                  </w:rPr>
                  <w:t>Valuation &amp; Methodology</w:t>
                </w:r>
                <w:r w:rsidR="00E050E3">
                  <w:rPr>
                    <w:noProof/>
                    <w:webHidden/>
                  </w:rPr>
                  <w:tab/>
                </w:r>
                <w:r w:rsidR="00E050E3">
                  <w:rPr>
                    <w:noProof/>
                    <w:webHidden/>
                  </w:rPr>
                  <w:fldChar w:fldCharType="begin"/>
                </w:r>
                <w:r w:rsidR="00E050E3">
                  <w:rPr>
                    <w:noProof/>
                    <w:webHidden/>
                  </w:rPr>
                  <w:instrText xml:space="preserve"> PAGEREF _Toc121096866 \h </w:instrText>
                </w:r>
                <w:r w:rsidR="00E050E3">
                  <w:rPr>
                    <w:noProof/>
                    <w:webHidden/>
                  </w:rPr>
                </w:r>
                <w:r w:rsidR="00E050E3">
                  <w:rPr>
                    <w:noProof/>
                    <w:webHidden/>
                  </w:rPr>
                  <w:fldChar w:fldCharType="separate"/>
                </w:r>
                <w:r w:rsidR="00EA0493">
                  <w:rPr>
                    <w:noProof/>
                    <w:webHidden/>
                  </w:rPr>
                  <w:t>12</w:t>
                </w:r>
                <w:r w:rsidR="00E050E3">
                  <w:rPr>
                    <w:noProof/>
                    <w:webHidden/>
                  </w:rPr>
                  <w:fldChar w:fldCharType="end"/>
                </w:r>
              </w:hyperlink>
            </w:p>
            <w:p w14:paraId="09BE1CBE" w14:textId="46F160B8" w:rsidR="00E050E3" w:rsidRDefault="00000000">
              <w:pPr>
                <w:pStyle w:val="TOC2"/>
                <w:tabs>
                  <w:tab w:val="right" w:leader="dot" w:pos="9010"/>
                </w:tabs>
                <w:rPr>
                  <w:rFonts w:eastAsiaTheme="minorEastAsia"/>
                  <w:noProof/>
                  <w:sz w:val="22"/>
                  <w:szCs w:val="22"/>
                  <w:lang w:val="en-IN" w:eastAsia="en-IN"/>
                </w:rPr>
              </w:pPr>
              <w:hyperlink w:anchor="_Toc121096867" w:history="1">
                <w:r w:rsidR="00E050E3" w:rsidRPr="00C34A4E">
                  <w:rPr>
                    <w:rStyle w:val="Hyperlink"/>
                    <w:noProof/>
                  </w:rPr>
                  <w:t>FCFF Calculation:</w:t>
                </w:r>
                <w:r w:rsidR="00E050E3">
                  <w:rPr>
                    <w:noProof/>
                    <w:webHidden/>
                  </w:rPr>
                  <w:tab/>
                </w:r>
                <w:r w:rsidR="00E050E3">
                  <w:rPr>
                    <w:noProof/>
                    <w:webHidden/>
                  </w:rPr>
                  <w:fldChar w:fldCharType="begin"/>
                </w:r>
                <w:r w:rsidR="00E050E3">
                  <w:rPr>
                    <w:noProof/>
                    <w:webHidden/>
                  </w:rPr>
                  <w:instrText xml:space="preserve"> PAGEREF _Toc121096867 \h </w:instrText>
                </w:r>
                <w:r w:rsidR="00E050E3">
                  <w:rPr>
                    <w:noProof/>
                    <w:webHidden/>
                  </w:rPr>
                </w:r>
                <w:r w:rsidR="00E050E3">
                  <w:rPr>
                    <w:noProof/>
                    <w:webHidden/>
                  </w:rPr>
                  <w:fldChar w:fldCharType="separate"/>
                </w:r>
                <w:r w:rsidR="00EA0493">
                  <w:rPr>
                    <w:noProof/>
                    <w:webHidden/>
                  </w:rPr>
                  <w:t>12</w:t>
                </w:r>
                <w:r w:rsidR="00E050E3">
                  <w:rPr>
                    <w:noProof/>
                    <w:webHidden/>
                  </w:rPr>
                  <w:fldChar w:fldCharType="end"/>
                </w:r>
              </w:hyperlink>
            </w:p>
            <w:p w14:paraId="5D614BD6" w14:textId="00036A18" w:rsidR="00E050E3" w:rsidRDefault="00000000">
              <w:pPr>
                <w:pStyle w:val="TOC2"/>
                <w:tabs>
                  <w:tab w:val="right" w:leader="dot" w:pos="9010"/>
                </w:tabs>
                <w:rPr>
                  <w:rFonts w:eastAsiaTheme="minorEastAsia"/>
                  <w:noProof/>
                  <w:sz w:val="22"/>
                  <w:szCs w:val="22"/>
                  <w:lang w:val="en-IN" w:eastAsia="en-IN"/>
                </w:rPr>
              </w:pPr>
              <w:hyperlink w:anchor="_Toc121096868" w:history="1">
                <w:r w:rsidR="00E050E3" w:rsidRPr="00C34A4E">
                  <w:rPr>
                    <w:rStyle w:val="Hyperlink"/>
                    <w:noProof/>
                  </w:rPr>
                  <w:t>Taxation:</w:t>
                </w:r>
                <w:r w:rsidR="00E050E3">
                  <w:rPr>
                    <w:noProof/>
                    <w:webHidden/>
                  </w:rPr>
                  <w:tab/>
                </w:r>
                <w:r w:rsidR="00E050E3">
                  <w:rPr>
                    <w:noProof/>
                    <w:webHidden/>
                  </w:rPr>
                  <w:fldChar w:fldCharType="begin"/>
                </w:r>
                <w:r w:rsidR="00E050E3">
                  <w:rPr>
                    <w:noProof/>
                    <w:webHidden/>
                  </w:rPr>
                  <w:instrText xml:space="preserve"> PAGEREF _Toc121096868 \h </w:instrText>
                </w:r>
                <w:r w:rsidR="00E050E3">
                  <w:rPr>
                    <w:noProof/>
                    <w:webHidden/>
                  </w:rPr>
                </w:r>
                <w:r w:rsidR="00E050E3">
                  <w:rPr>
                    <w:noProof/>
                    <w:webHidden/>
                  </w:rPr>
                  <w:fldChar w:fldCharType="separate"/>
                </w:r>
                <w:r w:rsidR="00EA0493">
                  <w:rPr>
                    <w:noProof/>
                    <w:webHidden/>
                  </w:rPr>
                  <w:t>12</w:t>
                </w:r>
                <w:r w:rsidR="00E050E3">
                  <w:rPr>
                    <w:noProof/>
                    <w:webHidden/>
                  </w:rPr>
                  <w:fldChar w:fldCharType="end"/>
                </w:r>
              </w:hyperlink>
            </w:p>
            <w:p w14:paraId="78A72E06" w14:textId="7B3D8E8E" w:rsidR="00E050E3" w:rsidRDefault="00000000">
              <w:pPr>
                <w:pStyle w:val="TOC2"/>
                <w:tabs>
                  <w:tab w:val="right" w:leader="dot" w:pos="9010"/>
                </w:tabs>
                <w:rPr>
                  <w:rFonts w:eastAsiaTheme="minorEastAsia"/>
                  <w:noProof/>
                  <w:sz w:val="22"/>
                  <w:szCs w:val="22"/>
                  <w:lang w:val="en-IN" w:eastAsia="en-IN"/>
                </w:rPr>
              </w:pPr>
              <w:hyperlink w:anchor="_Toc121096869" w:history="1">
                <w:r w:rsidR="00E050E3" w:rsidRPr="00C34A4E">
                  <w:rPr>
                    <w:rStyle w:val="Hyperlink"/>
                    <w:noProof/>
                  </w:rPr>
                  <w:t>Changes in NWC:</w:t>
                </w:r>
                <w:r w:rsidR="00E050E3">
                  <w:rPr>
                    <w:noProof/>
                    <w:webHidden/>
                  </w:rPr>
                  <w:tab/>
                </w:r>
                <w:r w:rsidR="00E050E3">
                  <w:rPr>
                    <w:noProof/>
                    <w:webHidden/>
                  </w:rPr>
                  <w:fldChar w:fldCharType="begin"/>
                </w:r>
                <w:r w:rsidR="00E050E3">
                  <w:rPr>
                    <w:noProof/>
                    <w:webHidden/>
                  </w:rPr>
                  <w:instrText xml:space="preserve"> PAGEREF _Toc121096869 \h </w:instrText>
                </w:r>
                <w:r w:rsidR="00E050E3">
                  <w:rPr>
                    <w:noProof/>
                    <w:webHidden/>
                  </w:rPr>
                </w:r>
                <w:r w:rsidR="00E050E3">
                  <w:rPr>
                    <w:noProof/>
                    <w:webHidden/>
                  </w:rPr>
                  <w:fldChar w:fldCharType="separate"/>
                </w:r>
                <w:r w:rsidR="00EA0493">
                  <w:rPr>
                    <w:noProof/>
                    <w:webHidden/>
                  </w:rPr>
                  <w:t>12</w:t>
                </w:r>
                <w:r w:rsidR="00E050E3">
                  <w:rPr>
                    <w:noProof/>
                    <w:webHidden/>
                  </w:rPr>
                  <w:fldChar w:fldCharType="end"/>
                </w:r>
              </w:hyperlink>
            </w:p>
            <w:p w14:paraId="409DA1DA" w14:textId="34660F41" w:rsidR="00E050E3" w:rsidRDefault="00000000">
              <w:pPr>
                <w:pStyle w:val="TOC2"/>
                <w:tabs>
                  <w:tab w:val="right" w:leader="dot" w:pos="9010"/>
                </w:tabs>
                <w:rPr>
                  <w:rFonts w:eastAsiaTheme="minorEastAsia"/>
                  <w:noProof/>
                  <w:sz w:val="22"/>
                  <w:szCs w:val="22"/>
                  <w:lang w:val="en-IN" w:eastAsia="en-IN"/>
                </w:rPr>
              </w:pPr>
              <w:hyperlink w:anchor="_Toc121096870" w:history="1">
                <w:r w:rsidR="00E050E3" w:rsidRPr="00C34A4E">
                  <w:rPr>
                    <w:rStyle w:val="Hyperlink"/>
                    <w:noProof/>
                  </w:rPr>
                  <w:t>Debt-Equity Ratio Analysis</w:t>
                </w:r>
                <w:r w:rsidR="00E050E3">
                  <w:rPr>
                    <w:noProof/>
                    <w:webHidden/>
                  </w:rPr>
                  <w:tab/>
                </w:r>
                <w:r w:rsidR="00E050E3">
                  <w:rPr>
                    <w:noProof/>
                    <w:webHidden/>
                  </w:rPr>
                  <w:fldChar w:fldCharType="begin"/>
                </w:r>
                <w:r w:rsidR="00E050E3">
                  <w:rPr>
                    <w:noProof/>
                    <w:webHidden/>
                  </w:rPr>
                  <w:instrText xml:space="preserve"> PAGEREF _Toc121096870 \h </w:instrText>
                </w:r>
                <w:r w:rsidR="00E050E3">
                  <w:rPr>
                    <w:noProof/>
                    <w:webHidden/>
                  </w:rPr>
                </w:r>
                <w:r w:rsidR="00E050E3">
                  <w:rPr>
                    <w:noProof/>
                    <w:webHidden/>
                  </w:rPr>
                  <w:fldChar w:fldCharType="separate"/>
                </w:r>
                <w:r w:rsidR="00EA0493">
                  <w:rPr>
                    <w:noProof/>
                    <w:webHidden/>
                  </w:rPr>
                  <w:t>12</w:t>
                </w:r>
                <w:r w:rsidR="00E050E3">
                  <w:rPr>
                    <w:noProof/>
                    <w:webHidden/>
                  </w:rPr>
                  <w:fldChar w:fldCharType="end"/>
                </w:r>
              </w:hyperlink>
            </w:p>
            <w:p w14:paraId="7A5703D4" w14:textId="77629ECE" w:rsidR="00E050E3" w:rsidRDefault="00000000">
              <w:pPr>
                <w:pStyle w:val="TOC2"/>
                <w:tabs>
                  <w:tab w:val="right" w:leader="dot" w:pos="9010"/>
                </w:tabs>
                <w:rPr>
                  <w:rFonts w:eastAsiaTheme="minorEastAsia"/>
                  <w:noProof/>
                  <w:sz w:val="22"/>
                  <w:szCs w:val="22"/>
                  <w:lang w:val="en-IN" w:eastAsia="en-IN"/>
                </w:rPr>
              </w:pPr>
              <w:hyperlink w:anchor="_Toc121096871" w:history="1">
                <w:r w:rsidR="00E050E3" w:rsidRPr="00C34A4E">
                  <w:rPr>
                    <w:rStyle w:val="Hyperlink"/>
                    <w:noProof/>
                  </w:rPr>
                  <w:t>Risk Free Rates</w:t>
                </w:r>
                <w:r w:rsidR="00E050E3">
                  <w:rPr>
                    <w:noProof/>
                    <w:webHidden/>
                  </w:rPr>
                  <w:tab/>
                </w:r>
                <w:r w:rsidR="00E050E3">
                  <w:rPr>
                    <w:noProof/>
                    <w:webHidden/>
                  </w:rPr>
                  <w:fldChar w:fldCharType="begin"/>
                </w:r>
                <w:r w:rsidR="00E050E3">
                  <w:rPr>
                    <w:noProof/>
                    <w:webHidden/>
                  </w:rPr>
                  <w:instrText xml:space="preserve"> PAGEREF _Toc121096871 \h </w:instrText>
                </w:r>
                <w:r w:rsidR="00E050E3">
                  <w:rPr>
                    <w:noProof/>
                    <w:webHidden/>
                  </w:rPr>
                </w:r>
                <w:r w:rsidR="00E050E3">
                  <w:rPr>
                    <w:noProof/>
                    <w:webHidden/>
                  </w:rPr>
                  <w:fldChar w:fldCharType="separate"/>
                </w:r>
                <w:r w:rsidR="00EA0493">
                  <w:rPr>
                    <w:noProof/>
                    <w:webHidden/>
                  </w:rPr>
                  <w:t>13</w:t>
                </w:r>
                <w:r w:rsidR="00E050E3">
                  <w:rPr>
                    <w:noProof/>
                    <w:webHidden/>
                  </w:rPr>
                  <w:fldChar w:fldCharType="end"/>
                </w:r>
              </w:hyperlink>
            </w:p>
            <w:p w14:paraId="773AE1D6" w14:textId="6A68BF96" w:rsidR="00E050E3" w:rsidRDefault="00000000">
              <w:pPr>
                <w:pStyle w:val="TOC2"/>
                <w:tabs>
                  <w:tab w:val="right" w:leader="dot" w:pos="9010"/>
                </w:tabs>
                <w:rPr>
                  <w:rFonts w:eastAsiaTheme="minorEastAsia"/>
                  <w:noProof/>
                  <w:sz w:val="22"/>
                  <w:szCs w:val="22"/>
                  <w:lang w:val="en-IN" w:eastAsia="en-IN"/>
                </w:rPr>
              </w:pPr>
              <w:hyperlink w:anchor="_Toc121096872" w:history="1">
                <w:r w:rsidR="00E050E3" w:rsidRPr="00C34A4E">
                  <w:rPr>
                    <w:rStyle w:val="Hyperlink"/>
                    <w:noProof/>
                  </w:rPr>
                  <w:t>Return on Market</w:t>
                </w:r>
                <w:r w:rsidR="00E050E3">
                  <w:rPr>
                    <w:noProof/>
                    <w:webHidden/>
                  </w:rPr>
                  <w:tab/>
                </w:r>
                <w:r w:rsidR="00E050E3">
                  <w:rPr>
                    <w:noProof/>
                    <w:webHidden/>
                  </w:rPr>
                  <w:fldChar w:fldCharType="begin"/>
                </w:r>
                <w:r w:rsidR="00E050E3">
                  <w:rPr>
                    <w:noProof/>
                    <w:webHidden/>
                  </w:rPr>
                  <w:instrText xml:space="preserve"> PAGEREF _Toc121096872 \h </w:instrText>
                </w:r>
                <w:r w:rsidR="00E050E3">
                  <w:rPr>
                    <w:noProof/>
                    <w:webHidden/>
                  </w:rPr>
                </w:r>
                <w:r w:rsidR="00E050E3">
                  <w:rPr>
                    <w:noProof/>
                    <w:webHidden/>
                  </w:rPr>
                  <w:fldChar w:fldCharType="separate"/>
                </w:r>
                <w:r w:rsidR="00EA0493">
                  <w:rPr>
                    <w:noProof/>
                    <w:webHidden/>
                  </w:rPr>
                  <w:t>14</w:t>
                </w:r>
                <w:r w:rsidR="00E050E3">
                  <w:rPr>
                    <w:noProof/>
                    <w:webHidden/>
                  </w:rPr>
                  <w:fldChar w:fldCharType="end"/>
                </w:r>
              </w:hyperlink>
            </w:p>
            <w:p w14:paraId="28F6B878" w14:textId="1BDDF90E" w:rsidR="00E050E3" w:rsidRDefault="00000000">
              <w:pPr>
                <w:pStyle w:val="TOC2"/>
                <w:tabs>
                  <w:tab w:val="right" w:leader="dot" w:pos="9010"/>
                </w:tabs>
                <w:rPr>
                  <w:rFonts w:eastAsiaTheme="minorEastAsia"/>
                  <w:noProof/>
                  <w:sz w:val="22"/>
                  <w:szCs w:val="22"/>
                  <w:lang w:val="en-IN" w:eastAsia="en-IN"/>
                </w:rPr>
              </w:pPr>
              <w:hyperlink w:anchor="_Toc121096873" w:history="1">
                <w:r w:rsidR="00E050E3" w:rsidRPr="00C34A4E">
                  <w:rPr>
                    <w:rStyle w:val="Hyperlink"/>
                    <w:noProof/>
                  </w:rPr>
                  <w:t>Beta Estimation:</w:t>
                </w:r>
                <w:r w:rsidR="00E050E3">
                  <w:rPr>
                    <w:noProof/>
                    <w:webHidden/>
                  </w:rPr>
                  <w:tab/>
                </w:r>
                <w:r w:rsidR="00E050E3">
                  <w:rPr>
                    <w:noProof/>
                    <w:webHidden/>
                  </w:rPr>
                  <w:fldChar w:fldCharType="begin"/>
                </w:r>
                <w:r w:rsidR="00E050E3">
                  <w:rPr>
                    <w:noProof/>
                    <w:webHidden/>
                  </w:rPr>
                  <w:instrText xml:space="preserve"> PAGEREF _Toc121096873 \h </w:instrText>
                </w:r>
                <w:r w:rsidR="00E050E3">
                  <w:rPr>
                    <w:noProof/>
                    <w:webHidden/>
                  </w:rPr>
                </w:r>
                <w:r w:rsidR="00E050E3">
                  <w:rPr>
                    <w:noProof/>
                    <w:webHidden/>
                  </w:rPr>
                  <w:fldChar w:fldCharType="separate"/>
                </w:r>
                <w:r w:rsidR="00EA0493">
                  <w:rPr>
                    <w:noProof/>
                    <w:webHidden/>
                  </w:rPr>
                  <w:t>14</w:t>
                </w:r>
                <w:r w:rsidR="00E050E3">
                  <w:rPr>
                    <w:noProof/>
                    <w:webHidden/>
                  </w:rPr>
                  <w:fldChar w:fldCharType="end"/>
                </w:r>
              </w:hyperlink>
            </w:p>
            <w:p w14:paraId="1C0F9276" w14:textId="2EF5B44D" w:rsidR="00E050E3" w:rsidRDefault="00000000">
              <w:pPr>
                <w:pStyle w:val="TOC2"/>
                <w:tabs>
                  <w:tab w:val="right" w:leader="dot" w:pos="9010"/>
                </w:tabs>
                <w:rPr>
                  <w:rFonts w:eastAsiaTheme="minorEastAsia"/>
                  <w:noProof/>
                  <w:sz w:val="22"/>
                  <w:szCs w:val="22"/>
                  <w:lang w:val="en-IN" w:eastAsia="en-IN"/>
                </w:rPr>
              </w:pPr>
              <w:hyperlink w:anchor="_Toc121096874" w:history="1">
                <w:r w:rsidR="00E050E3" w:rsidRPr="00C34A4E">
                  <w:rPr>
                    <w:rStyle w:val="Hyperlink"/>
                    <w:noProof/>
                  </w:rPr>
                  <w:t>Cost of Equity</w:t>
                </w:r>
                <w:r w:rsidR="00E050E3">
                  <w:rPr>
                    <w:noProof/>
                    <w:webHidden/>
                  </w:rPr>
                  <w:tab/>
                </w:r>
                <w:r w:rsidR="00E050E3">
                  <w:rPr>
                    <w:noProof/>
                    <w:webHidden/>
                  </w:rPr>
                  <w:fldChar w:fldCharType="begin"/>
                </w:r>
                <w:r w:rsidR="00E050E3">
                  <w:rPr>
                    <w:noProof/>
                    <w:webHidden/>
                  </w:rPr>
                  <w:instrText xml:space="preserve"> PAGEREF _Toc121096874 \h </w:instrText>
                </w:r>
                <w:r w:rsidR="00E050E3">
                  <w:rPr>
                    <w:noProof/>
                    <w:webHidden/>
                  </w:rPr>
                </w:r>
                <w:r w:rsidR="00E050E3">
                  <w:rPr>
                    <w:noProof/>
                    <w:webHidden/>
                  </w:rPr>
                  <w:fldChar w:fldCharType="separate"/>
                </w:r>
                <w:r w:rsidR="00EA0493">
                  <w:rPr>
                    <w:noProof/>
                    <w:webHidden/>
                  </w:rPr>
                  <w:t>14</w:t>
                </w:r>
                <w:r w:rsidR="00E050E3">
                  <w:rPr>
                    <w:noProof/>
                    <w:webHidden/>
                  </w:rPr>
                  <w:fldChar w:fldCharType="end"/>
                </w:r>
              </w:hyperlink>
            </w:p>
            <w:p w14:paraId="1C727B8E" w14:textId="1DFC1C9D" w:rsidR="00E050E3" w:rsidRDefault="00000000">
              <w:pPr>
                <w:pStyle w:val="TOC1"/>
                <w:tabs>
                  <w:tab w:val="right" w:leader="dot" w:pos="9010"/>
                </w:tabs>
                <w:rPr>
                  <w:rFonts w:eastAsiaTheme="minorEastAsia"/>
                  <w:noProof/>
                  <w:sz w:val="22"/>
                  <w:szCs w:val="22"/>
                  <w:lang w:val="en-IN" w:eastAsia="en-IN"/>
                </w:rPr>
              </w:pPr>
              <w:hyperlink w:anchor="_Toc121096875" w:history="1">
                <w:r w:rsidR="00E050E3" w:rsidRPr="00C34A4E">
                  <w:rPr>
                    <w:rStyle w:val="Hyperlink"/>
                    <w:noProof/>
                  </w:rPr>
                  <w:t>Valuation Summary</w:t>
                </w:r>
                <w:r w:rsidR="00E050E3">
                  <w:rPr>
                    <w:noProof/>
                    <w:webHidden/>
                  </w:rPr>
                  <w:tab/>
                </w:r>
                <w:r w:rsidR="00E050E3">
                  <w:rPr>
                    <w:noProof/>
                    <w:webHidden/>
                  </w:rPr>
                  <w:fldChar w:fldCharType="begin"/>
                </w:r>
                <w:r w:rsidR="00E050E3">
                  <w:rPr>
                    <w:noProof/>
                    <w:webHidden/>
                  </w:rPr>
                  <w:instrText xml:space="preserve"> PAGEREF _Toc121096875 \h </w:instrText>
                </w:r>
                <w:r w:rsidR="00E050E3">
                  <w:rPr>
                    <w:noProof/>
                    <w:webHidden/>
                  </w:rPr>
                </w:r>
                <w:r w:rsidR="00E050E3">
                  <w:rPr>
                    <w:noProof/>
                    <w:webHidden/>
                  </w:rPr>
                  <w:fldChar w:fldCharType="separate"/>
                </w:r>
                <w:r w:rsidR="00EA0493">
                  <w:rPr>
                    <w:noProof/>
                    <w:webHidden/>
                  </w:rPr>
                  <w:t>15</w:t>
                </w:r>
                <w:r w:rsidR="00E050E3">
                  <w:rPr>
                    <w:noProof/>
                    <w:webHidden/>
                  </w:rPr>
                  <w:fldChar w:fldCharType="end"/>
                </w:r>
              </w:hyperlink>
            </w:p>
            <w:p w14:paraId="6BC094F5" w14:textId="6EFAC363" w:rsidR="003B0593" w:rsidRDefault="003B0593">
              <w:r>
                <w:rPr>
                  <w:b/>
                  <w:bCs/>
                  <w:noProof/>
                </w:rPr>
                <w:fldChar w:fldCharType="end"/>
              </w:r>
            </w:p>
          </w:sdtContent>
        </w:sdt>
        <w:p w14:paraId="7F6AC1DA" w14:textId="77777777" w:rsidR="003B0593" w:rsidRDefault="003B0593">
          <w:pPr>
            <w:rPr>
              <w:rFonts w:ascii="Times New Roman" w:hAnsi="Times New Roman" w:cs="Times New Roman"/>
              <w:b/>
              <w:bCs/>
            </w:rPr>
          </w:pPr>
          <w:r>
            <w:rPr>
              <w:rFonts w:ascii="Times New Roman" w:hAnsi="Times New Roman" w:cs="Times New Roman"/>
              <w:b/>
              <w:bCs/>
            </w:rPr>
            <w:br w:type="page"/>
          </w:r>
        </w:p>
        <w:p w14:paraId="7A3FBAA3" w14:textId="31FAD930" w:rsidR="00B12A9D" w:rsidRPr="003B0593" w:rsidRDefault="00000000" w:rsidP="003B0593">
          <w:pPr>
            <w:rPr>
              <w:rFonts w:ascii="Times New Roman" w:hAnsi="Times New Roman" w:cs="Times New Roman"/>
            </w:rPr>
          </w:pPr>
        </w:p>
      </w:sdtContent>
    </w:sdt>
    <w:p w14:paraId="59AD773C" w14:textId="6E98E2BF" w:rsidR="003021CE" w:rsidRDefault="003021CE" w:rsidP="00C774DA">
      <w:pPr>
        <w:pStyle w:val="Heading1"/>
        <w:rPr>
          <w:lang w:val="en-US"/>
        </w:rPr>
      </w:pPr>
      <w:bookmarkStart w:id="1" w:name="_Toc121096858"/>
      <w:r>
        <w:rPr>
          <w:lang w:val="en-US"/>
        </w:rPr>
        <w:t>Company Overview</w:t>
      </w:r>
      <w:bookmarkEnd w:id="1"/>
    </w:p>
    <w:p w14:paraId="5D4B21C8" w14:textId="66D3800E" w:rsidR="003021CE" w:rsidRDefault="00390B23" w:rsidP="003021CE">
      <w:pPr>
        <w:rPr>
          <w:lang w:val="en-US"/>
        </w:rPr>
      </w:pPr>
      <w:r>
        <w:rPr>
          <w:noProof/>
        </w:rPr>
        <w:drawing>
          <wp:anchor distT="0" distB="0" distL="114300" distR="114300" simplePos="0" relativeHeight="251704320" behindDoc="1" locked="0" layoutInCell="1" allowOverlap="1" wp14:anchorId="78B366A4" wp14:editId="397E8F4B">
            <wp:simplePos x="0" y="0"/>
            <wp:positionH relativeFrom="column">
              <wp:posOffset>0</wp:posOffset>
            </wp:positionH>
            <wp:positionV relativeFrom="paragraph">
              <wp:posOffset>150607</wp:posOffset>
            </wp:positionV>
            <wp:extent cx="5727700" cy="2997835"/>
            <wp:effectExtent l="0" t="0" r="0" b="0"/>
            <wp:wrapNone/>
            <wp:docPr id="15" name="Picture 15" descr="Diana Shipping announces approval for listing of Oceanpal Inc. on Nasdaq  Capital Market and revised record Date for Oceanpal Inc. Spin-Off and  US$0.10 cash dividend - Cyprus Shipping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na Shipping announces approval for listing of Oceanpal Inc. on Nasdaq  Capital Market and revised record Date for Oceanpal Inc. Spin-Off and  US$0.10 cash dividend - Cyprus Shipping New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27700" cy="2997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29532B" w14:textId="697C7B63" w:rsidR="00390B23" w:rsidRDefault="00390B23" w:rsidP="003021CE">
      <w:pPr>
        <w:rPr>
          <w:lang w:val="en-US"/>
        </w:rPr>
      </w:pPr>
    </w:p>
    <w:p w14:paraId="1E5B7450" w14:textId="3DC26CC4" w:rsidR="00390B23" w:rsidRDefault="00390B23" w:rsidP="003021CE">
      <w:pPr>
        <w:rPr>
          <w:lang w:val="en-US"/>
        </w:rPr>
      </w:pPr>
      <w:r>
        <w:fldChar w:fldCharType="begin"/>
      </w:r>
      <w:r>
        <w:instrText xml:space="preserve"> INCLUDEPICTURE "/Users/kevinaherne/Library/Group Containers/UBF8T346G9.ms/WebArchiveCopyPasteTempFiles/com.microsoft.Word/New-Project-25-10.jpg" \* MERGEFORMATINET </w:instrText>
      </w:r>
      <w:r w:rsidR="00000000">
        <w:fldChar w:fldCharType="separate"/>
      </w:r>
      <w:r>
        <w:fldChar w:fldCharType="end"/>
      </w:r>
    </w:p>
    <w:p w14:paraId="079C766A" w14:textId="77777777" w:rsidR="00390B23" w:rsidRDefault="00390B23" w:rsidP="003021CE">
      <w:pPr>
        <w:rPr>
          <w:lang w:val="en-US"/>
        </w:rPr>
      </w:pPr>
    </w:p>
    <w:p w14:paraId="3B4A2978" w14:textId="77777777" w:rsidR="00390B23" w:rsidRDefault="00390B23" w:rsidP="003021CE">
      <w:pPr>
        <w:rPr>
          <w:lang w:val="en-US"/>
        </w:rPr>
      </w:pPr>
    </w:p>
    <w:p w14:paraId="6A0CCCEC" w14:textId="77777777" w:rsidR="00390B23" w:rsidRDefault="00390B23" w:rsidP="003021CE">
      <w:pPr>
        <w:rPr>
          <w:lang w:val="en-US"/>
        </w:rPr>
      </w:pPr>
    </w:p>
    <w:p w14:paraId="10534ABD" w14:textId="77777777" w:rsidR="00390B23" w:rsidRDefault="00390B23" w:rsidP="003021CE">
      <w:pPr>
        <w:rPr>
          <w:lang w:val="en-US"/>
        </w:rPr>
      </w:pPr>
    </w:p>
    <w:p w14:paraId="166866EE" w14:textId="77777777" w:rsidR="00390B23" w:rsidRDefault="00390B23" w:rsidP="003021CE">
      <w:pPr>
        <w:rPr>
          <w:lang w:val="en-US"/>
        </w:rPr>
      </w:pPr>
    </w:p>
    <w:p w14:paraId="71A267A8" w14:textId="77777777" w:rsidR="00390B23" w:rsidRDefault="00390B23" w:rsidP="003021CE">
      <w:pPr>
        <w:rPr>
          <w:lang w:val="en-US"/>
        </w:rPr>
      </w:pPr>
    </w:p>
    <w:p w14:paraId="15D1D9EE" w14:textId="77777777" w:rsidR="00390B23" w:rsidRDefault="00390B23" w:rsidP="003021CE">
      <w:pPr>
        <w:rPr>
          <w:lang w:val="en-US"/>
        </w:rPr>
      </w:pPr>
    </w:p>
    <w:p w14:paraId="2057E98D" w14:textId="77777777" w:rsidR="00390B23" w:rsidRDefault="00390B23" w:rsidP="003021CE">
      <w:pPr>
        <w:rPr>
          <w:lang w:val="en-US"/>
        </w:rPr>
      </w:pPr>
    </w:p>
    <w:p w14:paraId="206A48E4" w14:textId="77777777" w:rsidR="00390B23" w:rsidRDefault="00390B23" w:rsidP="003021CE">
      <w:pPr>
        <w:rPr>
          <w:lang w:val="en-US"/>
        </w:rPr>
      </w:pPr>
    </w:p>
    <w:p w14:paraId="12D02E75" w14:textId="77777777" w:rsidR="00390B23" w:rsidRDefault="00390B23" w:rsidP="003021CE">
      <w:pPr>
        <w:rPr>
          <w:lang w:val="en-US"/>
        </w:rPr>
      </w:pPr>
    </w:p>
    <w:p w14:paraId="3F5F0D8F" w14:textId="77777777" w:rsidR="00390B23" w:rsidRDefault="00390B23" w:rsidP="003021CE">
      <w:pPr>
        <w:rPr>
          <w:lang w:val="en-US"/>
        </w:rPr>
      </w:pPr>
    </w:p>
    <w:p w14:paraId="2BB13618" w14:textId="77777777" w:rsidR="00390B23" w:rsidRDefault="00390B23" w:rsidP="003021CE">
      <w:pPr>
        <w:rPr>
          <w:lang w:val="en-US"/>
        </w:rPr>
      </w:pPr>
    </w:p>
    <w:p w14:paraId="36923090" w14:textId="77777777" w:rsidR="00390B23" w:rsidRDefault="00390B23" w:rsidP="003021CE">
      <w:pPr>
        <w:rPr>
          <w:lang w:val="en-US"/>
        </w:rPr>
      </w:pPr>
    </w:p>
    <w:p w14:paraId="4F6F5FF8" w14:textId="479B9439" w:rsidR="0008153C" w:rsidRDefault="004E249B" w:rsidP="003021CE">
      <w:pPr>
        <w:rPr>
          <w:lang w:val="en-US"/>
        </w:rPr>
      </w:pPr>
      <w:r>
        <w:rPr>
          <w:lang w:val="en-US"/>
        </w:rPr>
        <w:t>Diana shipping is a dry bulker shipping company based in Greece. The company has a diverse fleet mix with about 45% of fleet taken up by Capesize, which are used for shipping bulk commodities.</w:t>
      </w:r>
    </w:p>
    <w:p w14:paraId="6BAD2985" w14:textId="6D1EB0E6" w:rsidR="00C659A8" w:rsidRDefault="004E249B" w:rsidP="003021CE">
      <w:pPr>
        <w:rPr>
          <w:lang w:val="en-US"/>
        </w:rPr>
      </w:pPr>
      <w:r>
        <w:rPr>
          <w:lang w:val="en-US"/>
        </w:rPr>
        <w:t xml:space="preserve">In the recent </w:t>
      </w:r>
      <w:r w:rsidR="000A0B7B">
        <w:rPr>
          <w:lang w:val="en-US"/>
        </w:rPr>
        <w:t>quarters</w:t>
      </w:r>
      <w:r>
        <w:rPr>
          <w:lang w:val="en-US"/>
        </w:rPr>
        <w:t xml:space="preserve">, the company has been focusing on improving its fleet size </w:t>
      </w:r>
      <w:r w:rsidR="000A0B7B">
        <w:rPr>
          <w:lang w:val="en-US"/>
        </w:rPr>
        <w:t>and age through strategic acquisitions and disposals</w:t>
      </w:r>
      <w:r>
        <w:rPr>
          <w:lang w:val="en-US"/>
        </w:rPr>
        <w:t>. As of 2022, the company has bought 9 ships, out of which 3 are to be delivered in Q4 2022.</w:t>
      </w:r>
    </w:p>
    <w:p w14:paraId="45DBC42F" w14:textId="37446DAB" w:rsidR="00C659A8" w:rsidRPr="00C659A8" w:rsidRDefault="00C659A8" w:rsidP="00C659A8">
      <w:pPr>
        <w:jc w:val="center"/>
        <w:rPr>
          <w:lang w:val="en-US"/>
        </w:rPr>
      </w:pPr>
      <w:r w:rsidRPr="00C659A8">
        <w:rPr>
          <w:lang w:val="en-US"/>
        </w:rPr>
        <w:t>Source: Diana Shipping Q3 Earnings Report</w:t>
      </w:r>
    </w:p>
    <w:p w14:paraId="43857D1E" w14:textId="731DD00C" w:rsidR="004E249B" w:rsidRDefault="004E249B" w:rsidP="003021CE">
      <w:pPr>
        <w:rPr>
          <w:lang w:val="en-US"/>
        </w:rPr>
      </w:pPr>
    </w:p>
    <w:p w14:paraId="59C348A1" w14:textId="190003F2" w:rsidR="004E249B" w:rsidRDefault="004E249B" w:rsidP="003021CE">
      <w:pPr>
        <w:rPr>
          <w:lang w:val="en-US"/>
        </w:rPr>
      </w:pPr>
      <w:r>
        <w:t>Dry bulk shipping doesn’t have standard set shipping routes and activity is determined on a charter basis. Given that charters can be undertaken for differing lengths and routes, it is not possible to assess the ‘standard’ routes occupied by the Diana fleet.</w:t>
      </w:r>
      <w:r w:rsidR="000A0B7B">
        <w:t xml:space="preserve"> Therefore, indices and future markets are primarily used to forecast changes in the ‘price’ dimension of revenue. </w:t>
      </w:r>
    </w:p>
    <w:p w14:paraId="151C458C" w14:textId="78A4BC7C" w:rsidR="004E249B" w:rsidRDefault="004E249B" w:rsidP="003021CE">
      <w:pPr>
        <w:rPr>
          <w:lang w:val="en-US"/>
        </w:rPr>
      </w:pPr>
    </w:p>
    <w:p w14:paraId="62DFDCD4" w14:textId="55B63DC0" w:rsidR="004E249B" w:rsidRDefault="004E249B" w:rsidP="003021CE">
      <w:pPr>
        <w:rPr>
          <w:lang w:val="en-US"/>
        </w:rPr>
      </w:pPr>
      <w:r>
        <w:rPr>
          <w:lang w:val="en-US"/>
        </w:rPr>
        <w:t>The company has recently changed its debt structuring to support its objective to buy fleet and improve the average fleet size of the company.</w:t>
      </w:r>
    </w:p>
    <w:p w14:paraId="4B6BE4FD" w14:textId="053C8984" w:rsidR="004E249B" w:rsidRDefault="004E249B" w:rsidP="003021CE">
      <w:pPr>
        <w:rPr>
          <w:lang w:val="en-US"/>
        </w:rPr>
      </w:pPr>
    </w:p>
    <w:p w14:paraId="7E744AFE" w14:textId="77777777" w:rsidR="004E249B" w:rsidRDefault="004E249B" w:rsidP="003021CE">
      <w:pPr>
        <w:rPr>
          <w:lang w:val="en-US"/>
        </w:rPr>
      </w:pPr>
    </w:p>
    <w:tbl>
      <w:tblPr>
        <w:tblStyle w:val="TableGrid"/>
        <w:tblW w:w="9010" w:type="dxa"/>
        <w:tblLook w:val="04A0" w:firstRow="1" w:lastRow="0" w:firstColumn="1" w:lastColumn="0" w:noHBand="0" w:noVBand="1"/>
      </w:tblPr>
      <w:tblGrid>
        <w:gridCol w:w="1696"/>
        <w:gridCol w:w="2694"/>
        <w:gridCol w:w="2126"/>
        <w:gridCol w:w="2494"/>
      </w:tblGrid>
      <w:tr w:rsidR="0008153C" w14:paraId="1CBECB55" w14:textId="77777777" w:rsidTr="00D37FDF">
        <w:tc>
          <w:tcPr>
            <w:tcW w:w="1696" w:type="dxa"/>
            <w:shd w:val="clear" w:color="auto" w:fill="1F3864" w:themeFill="accent1" w:themeFillShade="80"/>
          </w:tcPr>
          <w:p w14:paraId="58F4A01D" w14:textId="77777777" w:rsidR="0008153C" w:rsidRPr="004732B0" w:rsidRDefault="0008153C" w:rsidP="00D37FDF">
            <w:pPr>
              <w:jc w:val="center"/>
              <w:rPr>
                <w:color w:val="FFFFFF" w:themeColor="background1"/>
              </w:rPr>
            </w:pPr>
            <w:r w:rsidRPr="004732B0">
              <w:rPr>
                <w:color w:val="FFFFFF" w:themeColor="background1"/>
              </w:rPr>
              <w:t>Segment</w:t>
            </w:r>
          </w:p>
        </w:tc>
        <w:tc>
          <w:tcPr>
            <w:tcW w:w="2694" w:type="dxa"/>
            <w:shd w:val="clear" w:color="auto" w:fill="1F3864" w:themeFill="accent1" w:themeFillShade="80"/>
          </w:tcPr>
          <w:p w14:paraId="3BAF53CC" w14:textId="77777777" w:rsidR="0008153C" w:rsidRPr="004732B0" w:rsidRDefault="0008153C" w:rsidP="00D37FDF">
            <w:pPr>
              <w:jc w:val="center"/>
              <w:rPr>
                <w:color w:val="FFFFFF" w:themeColor="background1"/>
              </w:rPr>
            </w:pPr>
            <w:r w:rsidRPr="004732B0">
              <w:rPr>
                <w:color w:val="FFFFFF" w:themeColor="background1"/>
              </w:rPr>
              <w:t>Container</w:t>
            </w:r>
          </w:p>
        </w:tc>
        <w:tc>
          <w:tcPr>
            <w:tcW w:w="2126" w:type="dxa"/>
            <w:shd w:val="clear" w:color="auto" w:fill="1F3864" w:themeFill="accent1" w:themeFillShade="80"/>
          </w:tcPr>
          <w:p w14:paraId="502E9C17" w14:textId="0C73EA32" w:rsidR="0008153C" w:rsidRPr="004732B0" w:rsidRDefault="0008153C" w:rsidP="00D37FDF">
            <w:pPr>
              <w:jc w:val="center"/>
              <w:rPr>
                <w:color w:val="FFFFFF" w:themeColor="background1"/>
              </w:rPr>
            </w:pPr>
            <w:r>
              <w:rPr>
                <w:noProof/>
              </w:rPr>
              <mc:AlternateContent>
                <mc:Choice Requires="wps">
                  <w:drawing>
                    <wp:anchor distT="0" distB="0" distL="114300" distR="114300" simplePos="0" relativeHeight="251678720" behindDoc="1" locked="0" layoutInCell="1" allowOverlap="1" wp14:anchorId="57D18B51" wp14:editId="23A06010">
                      <wp:simplePos x="0" y="0"/>
                      <wp:positionH relativeFrom="column">
                        <wp:posOffset>-116205</wp:posOffset>
                      </wp:positionH>
                      <wp:positionV relativeFrom="paragraph">
                        <wp:posOffset>-137795</wp:posOffset>
                      </wp:positionV>
                      <wp:extent cx="1495168" cy="901477"/>
                      <wp:effectExtent l="0" t="0" r="16510" b="13335"/>
                      <wp:wrapNone/>
                      <wp:docPr id="34" name="Oval 34"/>
                      <wp:cNvGraphicFramePr/>
                      <a:graphic xmlns:a="http://schemas.openxmlformats.org/drawingml/2006/main">
                        <a:graphicData uri="http://schemas.microsoft.com/office/word/2010/wordprocessingShape">
                          <wps:wsp>
                            <wps:cNvSpPr/>
                            <wps:spPr>
                              <a:xfrm>
                                <a:off x="0" y="0"/>
                                <a:ext cx="1495168" cy="901477"/>
                              </a:xfrm>
                              <a:prstGeom prst="ellipse">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ED538B" id="Oval 34" o:spid="_x0000_s1026" style="position:absolute;margin-left:-9.15pt;margin-top:-10.85pt;width:117.75pt;height:7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4YFgAIAAIgFAAAOAAAAZHJzL2Uyb0RvYy54bWysVEtv2zAMvg/YfxB0X20H6SuIUwQtOgzo&#10;2mLt0LMiS7UASdQkJU7260fJjhOs3Q7DLjafHx8iOb/aGk02wgcFtqbVSUmJsBwaZV9r+v359tMF&#10;JSEy2zANVtR0JwK9Wnz8MO/cTEygBd0ITxDEhlnnatrG6GZFEXgrDAsn4IRFpQRvWETWvxaNZx2i&#10;G11MyvKs6MA3zgMXIaD0plfSRcaXUvD4IGUQkeiaYm4xf33+rtK3WMzZ7NUz1yo+pMH+IQvDlMWg&#10;I9QNi4ysvXoDZRT3EEDGEw6mACkVF7kGrKYqf6vmqWVO5FqwOcGNbQr/D5bfb57co8c2dC7MApKp&#10;iq30Jv0xP7LNzdqNzRLbSDgKq+nlaXWGz8tRd1lW0/Pz1M3i4O18iJ8FGJKImgqtlQupHjZjm7sQ&#10;e+u9VRIH0Kq5VVpnJs2AuNaebBi+HuNc2DjJ7nptvkLTy3EKyuEdUYyv3Ysv9mJMKE9TQsrpHQUp&#10;DkVnKu60SKG1/SYkUQ2W2QccEY5zqXIuoWWN6MWnf4yZAROyxOJG7AHgvTqroZeDfXIVeZxH57KP&#10;/jfn0SNHBhtHZ6Ms+PcAdBwj9/bYsqPWJHIFze7REw/9MgXHbxU+8B0L8ZF53B7cM7wI8QE/UkNX&#10;UxgoSlrwP9+TJ3scatRS0uE21jT8WDMvKNFfLI77ZTWdpvXNzPT0fIKMP9asjjV2ba4BR6bC2+N4&#10;JpN91HtSejAveDiWKSqqmOUYu6Y8+j1zHfsrgaeHi+Uym+HKOhbv7JPjCTx1NU3v8/aFeTdMecT9&#10;uIf95r6Z9N42eVpYriNIldfg0Neh37jueViH05TuyTGfrQ4HdPELAAD//wMAUEsDBBQABgAIAAAA&#10;IQCXkOPR3wAAAAsBAAAPAAAAZHJzL2Rvd25yZXYueG1sTI9RS8MwEMffBb9DOMG3LW0Gc3RNhyjC&#10;QAWd4l6z5mzLkktpsrV+e88n93R33I///a7cTN6JMw6xC6Qhn2cgkOpgO2o0fH48zVYgYjJkjQuE&#10;Gn4wwqa6vipNYcNI73jepUZwCMXCaGhT6gspY92iN3EeeiTefYfBm8Tj0Eg7mJHDvZMqy5bSm474&#10;Qmt6fGixPu5OXsNzfqxf31ST5Lh3j1/LtHUvaqv17c10vwaRcEr/MPzpszpU7HQIJ7JROA2zfLVg&#10;lBuV34FggqsCcWBUZQuQVSkvf6h+AQAA//8DAFBLAQItABQABgAIAAAAIQC2gziS/gAAAOEBAAAT&#10;AAAAAAAAAAAAAAAAAAAAAABbQ29udGVudF9UeXBlc10ueG1sUEsBAi0AFAAGAAgAAAAhADj9If/W&#10;AAAAlAEAAAsAAAAAAAAAAAAAAAAALwEAAF9yZWxzLy5yZWxzUEsBAi0AFAAGAAgAAAAhAJ1fhgWA&#10;AgAAiAUAAA4AAAAAAAAAAAAAAAAALgIAAGRycy9lMm9Eb2MueG1sUEsBAi0AFAAGAAgAAAAhAJeQ&#10;49HfAAAACwEAAA8AAAAAAAAAAAAAAAAA2gQAAGRycy9kb3ducmV2LnhtbFBLBQYAAAAABAAEAPMA&#10;AADmBQAAAAA=&#10;" fillcolor="#fbe4d5 [661]" strokecolor="#1f3763 [1604]" strokeweight="1pt">
                      <v:stroke joinstyle="miter"/>
                    </v:oval>
                  </w:pict>
                </mc:Fallback>
              </mc:AlternateContent>
            </w:r>
            <w:r w:rsidRPr="004732B0">
              <w:rPr>
                <w:color w:val="FFFFFF" w:themeColor="background1"/>
              </w:rPr>
              <w:t>Bulker</w:t>
            </w:r>
          </w:p>
        </w:tc>
        <w:tc>
          <w:tcPr>
            <w:tcW w:w="2494" w:type="dxa"/>
            <w:shd w:val="clear" w:color="auto" w:fill="1F3864" w:themeFill="accent1" w:themeFillShade="80"/>
          </w:tcPr>
          <w:p w14:paraId="2726F62C" w14:textId="3E4ED22F" w:rsidR="0008153C" w:rsidRPr="004732B0" w:rsidRDefault="0008153C" w:rsidP="00D37FDF">
            <w:pPr>
              <w:jc w:val="center"/>
              <w:rPr>
                <w:color w:val="FFFFFF" w:themeColor="background1"/>
              </w:rPr>
            </w:pPr>
            <w:r w:rsidRPr="004732B0">
              <w:rPr>
                <w:color w:val="FFFFFF" w:themeColor="background1"/>
              </w:rPr>
              <w:t>Tanker</w:t>
            </w:r>
          </w:p>
        </w:tc>
      </w:tr>
      <w:tr w:rsidR="0008153C" w14:paraId="7713A0F4" w14:textId="77777777" w:rsidTr="00D37FDF">
        <w:tc>
          <w:tcPr>
            <w:tcW w:w="1696" w:type="dxa"/>
            <w:shd w:val="clear" w:color="auto" w:fill="1F3864" w:themeFill="accent1" w:themeFillShade="80"/>
          </w:tcPr>
          <w:p w14:paraId="5E8B2B15" w14:textId="77777777" w:rsidR="0008153C" w:rsidRPr="004732B0" w:rsidRDefault="0008153C" w:rsidP="00D37FDF">
            <w:pPr>
              <w:jc w:val="center"/>
              <w:rPr>
                <w:color w:val="FFFFFF" w:themeColor="background1"/>
              </w:rPr>
            </w:pPr>
            <w:r w:rsidRPr="004732B0">
              <w:rPr>
                <w:color w:val="FFFFFF" w:themeColor="background1"/>
              </w:rPr>
              <w:t>Mix</w:t>
            </w:r>
          </w:p>
        </w:tc>
        <w:tc>
          <w:tcPr>
            <w:tcW w:w="2694" w:type="dxa"/>
          </w:tcPr>
          <w:p w14:paraId="1C00AF1B" w14:textId="77777777" w:rsidR="0008153C" w:rsidRDefault="0008153C" w:rsidP="00D37FDF">
            <w:pPr>
              <w:jc w:val="center"/>
            </w:pPr>
            <w:r>
              <w:t>13.2%</w:t>
            </w:r>
          </w:p>
        </w:tc>
        <w:tc>
          <w:tcPr>
            <w:tcW w:w="2126" w:type="dxa"/>
          </w:tcPr>
          <w:p w14:paraId="614A568E" w14:textId="7B3B44AC" w:rsidR="0008153C" w:rsidRDefault="0008153C" w:rsidP="00D37FDF">
            <w:pPr>
              <w:jc w:val="center"/>
            </w:pPr>
            <w:r>
              <w:t>46.37%</w:t>
            </w:r>
          </w:p>
        </w:tc>
        <w:tc>
          <w:tcPr>
            <w:tcW w:w="2494" w:type="dxa"/>
          </w:tcPr>
          <w:p w14:paraId="7BE764D1" w14:textId="5DF25ED7" w:rsidR="0008153C" w:rsidRDefault="0008153C" w:rsidP="00D37FDF">
            <w:pPr>
              <w:jc w:val="center"/>
            </w:pPr>
            <w:r>
              <w:t>40.43%</w:t>
            </w:r>
          </w:p>
        </w:tc>
      </w:tr>
      <w:tr w:rsidR="0008153C" w14:paraId="60F8F406" w14:textId="77777777" w:rsidTr="00D37FDF">
        <w:tc>
          <w:tcPr>
            <w:tcW w:w="1696" w:type="dxa"/>
            <w:shd w:val="clear" w:color="auto" w:fill="1F3864" w:themeFill="accent1" w:themeFillShade="80"/>
          </w:tcPr>
          <w:p w14:paraId="4712BABC" w14:textId="77777777" w:rsidR="0008153C" w:rsidRPr="004732B0" w:rsidRDefault="0008153C" w:rsidP="00D37FDF">
            <w:pPr>
              <w:jc w:val="center"/>
              <w:rPr>
                <w:color w:val="FFFFFF" w:themeColor="background1"/>
              </w:rPr>
            </w:pPr>
            <w:r>
              <w:rPr>
                <w:color w:val="FFFFFF" w:themeColor="background1"/>
              </w:rPr>
              <w:t>Cargo</w:t>
            </w:r>
          </w:p>
        </w:tc>
        <w:tc>
          <w:tcPr>
            <w:tcW w:w="2694" w:type="dxa"/>
          </w:tcPr>
          <w:p w14:paraId="34928F25" w14:textId="77777777" w:rsidR="0008153C" w:rsidRDefault="0008153C" w:rsidP="00D37FDF">
            <w:pPr>
              <w:jc w:val="center"/>
            </w:pPr>
            <w:r>
              <w:t>Manufactured Goods etc</w:t>
            </w:r>
          </w:p>
        </w:tc>
        <w:tc>
          <w:tcPr>
            <w:tcW w:w="2126" w:type="dxa"/>
          </w:tcPr>
          <w:p w14:paraId="758A57E7" w14:textId="77777777" w:rsidR="0008153C" w:rsidRDefault="0008153C" w:rsidP="00D37FDF">
            <w:pPr>
              <w:jc w:val="center"/>
            </w:pPr>
            <w:r>
              <w:t>Grain, Ores etc</w:t>
            </w:r>
          </w:p>
        </w:tc>
        <w:tc>
          <w:tcPr>
            <w:tcW w:w="2494" w:type="dxa"/>
          </w:tcPr>
          <w:p w14:paraId="575B3479" w14:textId="77777777" w:rsidR="0008153C" w:rsidRDefault="0008153C" w:rsidP="00D37FDF">
            <w:pPr>
              <w:jc w:val="center"/>
            </w:pPr>
            <w:r>
              <w:t>Hydrocarbons (oil) etc</w:t>
            </w:r>
          </w:p>
        </w:tc>
      </w:tr>
    </w:tbl>
    <w:p w14:paraId="7117B8A5" w14:textId="5AE485A8" w:rsidR="0008153C" w:rsidRDefault="0008153C" w:rsidP="0008153C">
      <w:pPr>
        <w:rPr>
          <w:lang w:val="en-US"/>
        </w:rPr>
      </w:pPr>
    </w:p>
    <w:p w14:paraId="0BE85F71" w14:textId="6CA22A9F" w:rsidR="00390B23" w:rsidRDefault="00390B23" w:rsidP="0008153C">
      <w:pPr>
        <w:rPr>
          <w:lang w:val="en-US"/>
        </w:rPr>
      </w:pPr>
    </w:p>
    <w:p w14:paraId="2449F4EC" w14:textId="0D8C3D08" w:rsidR="00390B23" w:rsidRDefault="00390B23" w:rsidP="0008153C">
      <w:pPr>
        <w:rPr>
          <w:lang w:val="en-US"/>
        </w:rPr>
      </w:pPr>
    </w:p>
    <w:p w14:paraId="580E1BAB" w14:textId="6D2179C4" w:rsidR="00390B23" w:rsidRDefault="00390B23" w:rsidP="0008153C">
      <w:pPr>
        <w:rPr>
          <w:lang w:val="en-US"/>
        </w:rPr>
      </w:pPr>
    </w:p>
    <w:p w14:paraId="38494439" w14:textId="77777777" w:rsidR="00390B23" w:rsidRDefault="00390B23" w:rsidP="0008153C">
      <w:pPr>
        <w:rPr>
          <w:lang w:val="en-US"/>
        </w:rPr>
      </w:pPr>
    </w:p>
    <w:p w14:paraId="23D3E0F4" w14:textId="11D9699E" w:rsidR="000A0B7B" w:rsidRDefault="00C774DA" w:rsidP="00B6692C">
      <w:pPr>
        <w:pStyle w:val="Heading1"/>
        <w:rPr>
          <w:lang w:val="en-US"/>
        </w:rPr>
      </w:pPr>
      <w:bookmarkStart w:id="2" w:name="_Toc121096859"/>
      <w:r>
        <w:rPr>
          <w:lang w:val="en-US"/>
        </w:rPr>
        <w:lastRenderedPageBreak/>
        <w:t>Revenue</w:t>
      </w:r>
      <w:bookmarkEnd w:id="2"/>
    </w:p>
    <w:p w14:paraId="0F781601" w14:textId="77777777" w:rsidR="000A0B7B" w:rsidRDefault="000A0B7B" w:rsidP="000A0B7B">
      <w:r>
        <w:rPr>
          <w:lang w:val="en-US"/>
        </w:rPr>
        <w:t xml:space="preserve">Given that historical averages are a poor estimator of future performance within the industry, little reliance is placed on CAGR’s and averages. This is largely due to the fact that the global economy and its’ geopolitics is ever changing and cannot be simply compared to historical years. For this reason, most assessment is forward looking with emphasis placed on current and recent events. </w:t>
      </w:r>
      <w:r>
        <w:t xml:space="preserve">Using quarterly reports we calculated the YTD revenue figure of 214.27mn. </w:t>
      </w:r>
    </w:p>
    <w:p w14:paraId="3288C9DC" w14:textId="77777777" w:rsidR="00DF6CB2" w:rsidRDefault="00DF6CB2" w:rsidP="00DF6CB2"/>
    <w:tbl>
      <w:tblPr>
        <w:tblW w:w="3839" w:type="dxa"/>
        <w:tblInd w:w="2587" w:type="dxa"/>
        <w:tblLook w:val="04A0" w:firstRow="1" w:lastRow="0" w:firstColumn="1" w:lastColumn="0" w:noHBand="0" w:noVBand="1"/>
      </w:tblPr>
      <w:tblGrid>
        <w:gridCol w:w="1275"/>
        <w:gridCol w:w="1276"/>
        <w:gridCol w:w="1288"/>
      </w:tblGrid>
      <w:tr w:rsidR="00DF6CB2" w:rsidRPr="005D34D7" w14:paraId="20C3856E" w14:textId="77777777" w:rsidTr="00B3714A">
        <w:trPr>
          <w:trHeight w:val="300"/>
        </w:trPr>
        <w:tc>
          <w:tcPr>
            <w:tcW w:w="1275" w:type="dxa"/>
            <w:tcBorders>
              <w:top w:val="single" w:sz="4" w:space="0" w:color="auto"/>
              <w:left w:val="single" w:sz="4" w:space="0" w:color="auto"/>
              <w:bottom w:val="nil"/>
              <w:right w:val="single" w:sz="4" w:space="0" w:color="auto"/>
            </w:tcBorders>
            <w:shd w:val="clear" w:color="000000" w:fill="4F81BD"/>
            <w:noWrap/>
            <w:vAlign w:val="bottom"/>
            <w:hideMark/>
          </w:tcPr>
          <w:p w14:paraId="44B4DCAE" w14:textId="77777777" w:rsidR="00DF6CB2" w:rsidRPr="005D34D7" w:rsidRDefault="00DF6CB2" w:rsidP="00B3714A">
            <w:pPr>
              <w:jc w:val="right"/>
              <w:rPr>
                <w:rFonts w:ascii="Arial" w:eastAsia="Times New Roman" w:hAnsi="Arial" w:cs="Arial"/>
                <w:b/>
                <w:bCs/>
                <w:color w:val="FFFFFF"/>
                <w:sz w:val="20"/>
                <w:szCs w:val="20"/>
                <w:lang w:eastAsia="en-GB"/>
              </w:rPr>
            </w:pPr>
            <w:r w:rsidRPr="005D34D7">
              <w:rPr>
                <w:rFonts w:ascii="Arial" w:eastAsia="Times New Roman" w:hAnsi="Arial" w:cs="Arial"/>
                <w:b/>
                <w:bCs/>
                <w:color w:val="FFFFFF"/>
                <w:sz w:val="20"/>
                <w:szCs w:val="20"/>
                <w:lang w:eastAsia="en-GB"/>
              </w:rPr>
              <w:t>Q1 2022</w:t>
            </w:r>
          </w:p>
        </w:tc>
        <w:tc>
          <w:tcPr>
            <w:tcW w:w="1276" w:type="dxa"/>
            <w:tcBorders>
              <w:top w:val="single" w:sz="4" w:space="0" w:color="auto"/>
              <w:left w:val="nil"/>
              <w:bottom w:val="nil"/>
              <w:right w:val="single" w:sz="4" w:space="0" w:color="auto"/>
            </w:tcBorders>
            <w:shd w:val="clear" w:color="000000" w:fill="4F81BD"/>
            <w:noWrap/>
            <w:vAlign w:val="bottom"/>
            <w:hideMark/>
          </w:tcPr>
          <w:p w14:paraId="6982DE4B" w14:textId="77777777" w:rsidR="00DF6CB2" w:rsidRPr="005D34D7" w:rsidRDefault="00DF6CB2" w:rsidP="00B3714A">
            <w:pPr>
              <w:jc w:val="right"/>
              <w:rPr>
                <w:rFonts w:ascii="Arial" w:eastAsia="Times New Roman" w:hAnsi="Arial" w:cs="Arial"/>
                <w:b/>
                <w:bCs/>
                <w:color w:val="FFFFFF"/>
                <w:sz w:val="20"/>
                <w:szCs w:val="20"/>
                <w:lang w:eastAsia="en-GB"/>
              </w:rPr>
            </w:pPr>
            <w:r w:rsidRPr="005D34D7">
              <w:rPr>
                <w:rFonts w:ascii="Arial" w:eastAsia="Times New Roman" w:hAnsi="Arial" w:cs="Arial"/>
                <w:b/>
                <w:bCs/>
                <w:color w:val="FFFFFF"/>
                <w:sz w:val="20"/>
                <w:szCs w:val="20"/>
                <w:lang w:eastAsia="en-GB"/>
              </w:rPr>
              <w:t>Q2 2022</w:t>
            </w:r>
          </w:p>
        </w:tc>
        <w:tc>
          <w:tcPr>
            <w:tcW w:w="1288" w:type="dxa"/>
            <w:tcBorders>
              <w:top w:val="single" w:sz="4" w:space="0" w:color="auto"/>
              <w:left w:val="nil"/>
              <w:bottom w:val="nil"/>
              <w:right w:val="single" w:sz="4" w:space="0" w:color="auto"/>
            </w:tcBorders>
            <w:shd w:val="clear" w:color="000000" w:fill="4F81BD"/>
            <w:noWrap/>
            <w:vAlign w:val="bottom"/>
            <w:hideMark/>
          </w:tcPr>
          <w:p w14:paraId="5C96D057" w14:textId="77777777" w:rsidR="00DF6CB2" w:rsidRPr="005D34D7" w:rsidRDefault="00DF6CB2" w:rsidP="00B3714A">
            <w:pPr>
              <w:jc w:val="right"/>
              <w:rPr>
                <w:rFonts w:ascii="Arial" w:eastAsia="Times New Roman" w:hAnsi="Arial" w:cs="Arial"/>
                <w:b/>
                <w:bCs/>
                <w:color w:val="FFFFFF"/>
                <w:sz w:val="20"/>
                <w:szCs w:val="20"/>
                <w:lang w:eastAsia="en-GB"/>
              </w:rPr>
            </w:pPr>
            <w:r w:rsidRPr="005D34D7">
              <w:rPr>
                <w:rFonts w:ascii="Arial" w:eastAsia="Times New Roman" w:hAnsi="Arial" w:cs="Arial"/>
                <w:b/>
                <w:bCs/>
                <w:color w:val="FFFFFF"/>
                <w:sz w:val="20"/>
                <w:szCs w:val="20"/>
                <w:lang w:eastAsia="en-GB"/>
              </w:rPr>
              <w:t>Q3 2022</w:t>
            </w:r>
          </w:p>
        </w:tc>
      </w:tr>
      <w:tr w:rsidR="00DF6CB2" w:rsidRPr="005D34D7" w14:paraId="11625555" w14:textId="77777777" w:rsidTr="00B3714A">
        <w:trPr>
          <w:trHeight w:val="150"/>
        </w:trPr>
        <w:tc>
          <w:tcPr>
            <w:tcW w:w="1275" w:type="dxa"/>
            <w:tcBorders>
              <w:top w:val="nil"/>
              <w:left w:val="single" w:sz="4" w:space="0" w:color="auto"/>
              <w:bottom w:val="single" w:sz="4" w:space="0" w:color="auto"/>
              <w:right w:val="single" w:sz="4" w:space="0" w:color="auto"/>
            </w:tcBorders>
            <w:shd w:val="clear" w:color="000000" w:fill="4F81BD"/>
            <w:noWrap/>
            <w:vAlign w:val="bottom"/>
            <w:hideMark/>
          </w:tcPr>
          <w:p w14:paraId="07E28F0D" w14:textId="77777777" w:rsidR="00DF6CB2" w:rsidRPr="005D34D7" w:rsidRDefault="00DF6CB2" w:rsidP="00B3714A">
            <w:pPr>
              <w:jc w:val="center"/>
              <w:rPr>
                <w:rFonts w:ascii="Arial" w:eastAsia="Times New Roman" w:hAnsi="Arial" w:cs="Arial"/>
                <w:b/>
                <w:bCs/>
                <w:color w:val="FFFFFF"/>
                <w:sz w:val="20"/>
                <w:szCs w:val="20"/>
                <w:lang w:eastAsia="en-GB"/>
              </w:rPr>
            </w:pPr>
          </w:p>
        </w:tc>
        <w:tc>
          <w:tcPr>
            <w:tcW w:w="1276" w:type="dxa"/>
            <w:tcBorders>
              <w:top w:val="nil"/>
              <w:left w:val="nil"/>
              <w:bottom w:val="single" w:sz="4" w:space="0" w:color="auto"/>
              <w:right w:val="single" w:sz="4" w:space="0" w:color="auto"/>
            </w:tcBorders>
            <w:shd w:val="clear" w:color="000000" w:fill="4F81BD"/>
            <w:noWrap/>
            <w:vAlign w:val="bottom"/>
            <w:hideMark/>
          </w:tcPr>
          <w:p w14:paraId="1996A125" w14:textId="77777777" w:rsidR="00DF6CB2" w:rsidRPr="005D34D7" w:rsidRDefault="00DF6CB2" w:rsidP="00B3714A">
            <w:pPr>
              <w:rPr>
                <w:rFonts w:ascii="Arial" w:eastAsia="Times New Roman" w:hAnsi="Arial" w:cs="Arial"/>
                <w:b/>
                <w:bCs/>
                <w:color w:val="FFFFFF"/>
                <w:sz w:val="20"/>
                <w:szCs w:val="20"/>
                <w:lang w:eastAsia="en-GB"/>
              </w:rPr>
            </w:pPr>
          </w:p>
        </w:tc>
        <w:tc>
          <w:tcPr>
            <w:tcW w:w="1288" w:type="dxa"/>
            <w:tcBorders>
              <w:top w:val="nil"/>
              <w:left w:val="nil"/>
              <w:bottom w:val="single" w:sz="4" w:space="0" w:color="auto"/>
              <w:right w:val="single" w:sz="4" w:space="0" w:color="auto"/>
            </w:tcBorders>
            <w:shd w:val="clear" w:color="000000" w:fill="4F81BD"/>
            <w:noWrap/>
            <w:vAlign w:val="bottom"/>
            <w:hideMark/>
          </w:tcPr>
          <w:p w14:paraId="42B0BD7E" w14:textId="77777777" w:rsidR="00DF6CB2" w:rsidRPr="005D34D7" w:rsidRDefault="00DF6CB2" w:rsidP="00B3714A">
            <w:pPr>
              <w:rPr>
                <w:rFonts w:ascii="Arial" w:eastAsia="Times New Roman" w:hAnsi="Arial" w:cs="Arial"/>
                <w:b/>
                <w:bCs/>
                <w:color w:val="FFFFFF"/>
                <w:sz w:val="20"/>
                <w:szCs w:val="20"/>
                <w:lang w:eastAsia="en-GB"/>
              </w:rPr>
            </w:pPr>
          </w:p>
        </w:tc>
      </w:tr>
      <w:tr w:rsidR="00DF6CB2" w:rsidRPr="005D34D7" w14:paraId="3A17FE99" w14:textId="77777777" w:rsidTr="00B3714A">
        <w:trPr>
          <w:trHeight w:val="300"/>
        </w:trPr>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14:paraId="04704718" w14:textId="77777777" w:rsidR="00DF6CB2" w:rsidRPr="005D34D7" w:rsidRDefault="00DF6CB2" w:rsidP="00B3714A">
            <w:pPr>
              <w:jc w:val="right"/>
              <w:rPr>
                <w:rFonts w:ascii="Arial" w:eastAsia="Times New Roman" w:hAnsi="Arial" w:cs="Arial"/>
                <w:b/>
                <w:bCs/>
                <w:color w:val="000000"/>
                <w:sz w:val="20"/>
                <w:szCs w:val="20"/>
                <w:lang w:eastAsia="en-GB"/>
              </w:rPr>
            </w:pPr>
            <w:r w:rsidRPr="005D34D7">
              <w:rPr>
                <w:rFonts w:ascii="Arial" w:eastAsia="Times New Roman" w:hAnsi="Arial" w:cs="Arial"/>
                <w:b/>
                <w:bCs/>
                <w:color w:val="000000"/>
                <w:sz w:val="20"/>
                <w:szCs w:val="20"/>
                <w:lang w:eastAsia="en-GB"/>
              </w:rPr>
              <w:t>65.9</w:t>
            </w:r>
          </w:p>
        </w:tc>
        <w:tc>
          <w:tcPr>
            <w:tcW w:w="1276" w:type="dxa"/>
            <w:tcBorders>
              <w:top w:val="nil"/>
              <w:left w:val="nil"/>
              <w:bottom w:val="single" w:sz="4" w:space="0" w:color="auto"/>
              <w:right w:val="single" w:sz="4" w:space="0" w:color="auto"/>
            </w:tcBorders>
            <w:shd w:val="clear" w:color="000000" w:fill="FFFFFF"/>
            <w:noWrap/>
            <w:vAlign w:val="bottom"/>
            <w:hideMark/>
          </w:tcPr>
          <w:p w14:paraId="62641372" w14:textId="77777777" w:rsidR="00DF6CB2" w:rsidRPr="005D34D7" w:rsidRDefault="00DF6CB2" w:rsidP="00B3714A">
            <w:pPr>
              <w:jc w:val="right"/>
              <w:rPr>
                <w:rFonts w:ascii="Arial" w:eastAsia="Times New Roman" w:hAnsi="Arial" w:cs="Arial"/>
                <w:b/>
                <w:bCs/>
                <w:color w:val="000000"/>
                <w:sz w:val="20"/>
                <w:szCs w:val="20"/>
                <w:lang w:eastAsia="en-GB"/>
              </w:rPr>
            </w:pPr>
            <w:r w:rsidRPr="005D34D7">
              <w:rPr>
                <w:rFonts w:ascii="Arial" w:eastAsia="Times New Roman" w:hAnsi="Arial" w:cs="Arial"/>
                <w:b/>
                <w:bCs/>
                <w:color w:val="000000"/>
                <w:sz w:val="20"/>
                <w:szCs w:val="20"/>
                <w:lang w:eastAsia="en-GB"/>
              </w:rPr>
              <w:t>74.5</w:t>
            </w:r>
          </w:p>
        </w:tc>
        <w:tc>
          <w:tcPr>
            <w:tcW w:w="1288" w:type="dxa"/>
            <w:tcBorders>
              <w:top w:val="nil"/>
              <w:left w:val="nil"/>
              <w:bottom w:val="single" w:sz="4" w:space="0" w:color="auto"/>
              <w:right w:val="single" w:sz="4" w:space="0" w:color="auto"/>
            </w:tcBorders>
            <w:shd w:val="clear" w:color="000000" w:fill="FFFFFF"/>
            <w:noWrap/>
            <w:vAlign w:val="bottom"/>
            <w:hideMark/>
          </w:tcPr>
          <w:p w14:paraId="344AF14E" w14:textId="77777777" w:rsidR="00DF6CB2" w:rsidRPr="005D34D7" w:rsidRDefault="00DF6CB2" w:rsidP="00B3714A">
            <w:pPr>
              <w:jc w:val="right"/>
              <w:rPr>
                <w:rFonts w:ascii="Arial" w:eastAsia="Times New Roman" w:hAnsi="Arial" w:cs="Arial"/>
                <w:b/>
                <w:bCs/>
                <w:color w:val="000000"/>
                <w:sz w:val="20"/>
                <w:szCs w:val="20"/>
                <w:lang w:eastAsia="en-GB"/>
              </w:rPr>
            </w:pPr>
            <w:r w:rsidRPr="005D34D7">
              <w:rPr>
                <w:rFonts w:ascii="Arial" w:eastAsia="Times New Roman" w:hAnsi="Arial" w:cs="Arial"/>
                <w:b/>
                <w:bCs/>
                <w:color w:val="000000"/>
                <w:sz w:val="20"/>
                <w:szCs w:val="20"/>
                <w:lang w:eastAsia="en-GB"/>
              </w:rPr>
              <w:t>73.8</w:t>
            </w:r>
          </w:p>
        </w:tc>
      </w:tr>
    </w:tbl>
    <w:p w14:paraId="458F1570" w14:textId="2B5C97C3" w:rsidR="00DF6CB2" w:rsidRDefault="00206191" w:rsidP="00206191">
      <w:pPr>
        <w:jc w:val="center"/>
      </w:pPr>
      <w:r>
        <w:t xml:space="preserve">Source: Diana Shipping Quarterly </w:t>
      </w:r>
      <w:r w:rsidR="00C659A8">
        <w:t>R</w:t>
      </w:r>
      <w:r>
        <w:t>eports</w:t>
      </w:r>
    </w:p>
    <w:p w14:paraId="4B94330F" w14:textId="77777777" w:rsidR="000A0B7B" w:rsidRDefault="000A0B7B" w:rsidP="00206191">
      <w:pPr>
        <w:jc w:val="center"/>
      </w:pPr>
    </w:p>
    <w:p w14:paraId="733366B9" w14:textId="15F8BCB3" w:rsidR="000A0B7B" w:rsidRDefault="000A0B7B" w:rsidP="00206191">
      <w:pPr>
        <w:jc w:val="center"/>
      </w:pPr>
    </w:p>
    <w:p w14:paraId="026BCB50" w14:textId="0FBD5BA9" w:rsidR="000A0B7B" w:rsidRPr="000A0B7B" w:rsidRDefault="000A0B7B" w:rsidP="000A0B7B">
      <w:pPr>
        <w:pStyle w:val="Heading2"/>
      </w:pPr>
      <w:bookmarkStart w:id="3" w:name="_Toc121096860"/>
      <w:r w:rsidRPr="000A0B7B">
        <w:t>Calculating Q4 Revenue</w:t>
      </w:r>
      <w:bookmarkEnd w:id="3"/>
    </w:p>
    <w:p w14:paraId="471114F9" w14:textId="77777777" w:rsidR="00DF6CB2" w:rsidRDefault="00DF6CB2" w:rsidP="00DF6CB2">
      <w:r>
        <w:t xml:space="preserve">In the earnings report of Q3 Diana Shipping Corp confirmed that 80% of their operating days of Q4 were already chartered for. This came at a value of 35mn. </w:t>
      </w:r>
    </w:p>
    <w:p w14:paraId="755E6467" w14:textId="77777777" w:rsidR="00DF6CB2" w:rsidRDefault="00DF6CB2" w:rsidP="00DF6CB2"/>
    <w:p w14:paraId="413EBC5A" w14:textId="77777777" w:rsidR="00DF6CB2" w:rsidRDefault="00DF6CB2" w:rsidP="00DF6CB2">
      <w:r>
        <w:t>Therefore, the other 20% had to be calculated as follows:</w:t>
      </w:r>
    </w:p>
    <w:p w14:paraId="2C812810" w14:textId="77777777" w:rsidR="00DF6CB2" w:rsidRDefault="00DF6CB2" w:rsidP="00DF6CB2"/>
    <w:p w14:paraId="544E021E" w14:textId="7B4C66CC" w:rsidR="00DF6CB2" w:rsidRPr="000A0B7B" w:rsidRDefault="000A0B7B" w:rsidP="00DF6CB2">
      <w:pPr>
        <w:rPr>
          <w:rFonts w:eastAsiaTheme="minorEastAsia"/>
          <w:b/>
          <w:bCs/>
          <w:u w:val="single"/>
        </w:rPr>
      </w:pPr>
      <m:oMathPara>
        <m:oMath>
          <m:r>
            <m:rPr>
              <m:sty m:val="bi"/>
            </m:rPr>
            <w:rPr>
              <w:rFonts w:ascii="Cambria Math" w:hAnsi="Cambria Math"/>
              <w:u w:val="single"/>
            </w:rPr>
            <m:t xml:space="preserve">Revenue </m:t>
          </m:r>
        </m:oMath>
      </m:oMathPara>
    </w:p>
    <w:p w14:paraId="4FB42804" w14:textId="184A78DE" w:rsidR="00DF6CB2" w:rsidRPr="000A0B7B" w:rsidRDefault="000A0B7B" w:rsidP="00DF6CB2">
      <w:pPr>
        <w:rPr>
          <w:rFonts w:eastAsiaTheme="minorEastAsia"/>
          <w:b/>
          <w:bCs/>
        </w:rPr>
      </w:pPr>
      <m:oMathPara>
        <m:oMath>
          <m:r>
            <m:rPr>
              <m:sty m:val="bi"/>
            </m:rPr>
            <w:rPr>
              <w:rFonts w:ascii="Cambria Math" w:hAnsi="Cambria Math"/>
            </w:rPr>
            <m:t xml:space="preserve">=Quarterly Operating Days Per Ship </m:t>
          </m:r>
        </m:oMath>
      </m:oMathPara>
    </w:p>
    <w:p w14:paraId="4D70099A" w14:textId="621533C3" w:rsidR="00DF6CB2" w:rsidRPr="000A0B7B" w:rsidRDefault="000A0B7B" w:rsidP="00DF6CB2">
      <w:pPr>
        <w:rPr>
          <w:rFonts w:eastAsiaTheme="minorEastAsia"/>
          <w:b/>
          <w:bCs/>
        </w:rPr>
      </w:pPr>
      <m:oMathPara>
        <m:oMath>
          <m:r>
            <m:rPr>
              <m:sty m:val="bi"/>
            </m:rPr>
            <w:rPr>
              <w:rFonts w:ascii="Cambria Math" w:hAnsi="Cambria Math"/>
            </w:rPr>
            <m:t>x</m:t>
          </m:r>
        </m:oMath>
      </m:oMathPara>
    </w:p>
    <w:p w14:paraId="5E2D4537" w14:textId="1B5ECE3C" w:rsidR="00DF6CB2" w:rsidRPr="000A0B7B" w:rsidRDefault="000A0B7B" w:rsidP="00DF6CB2">
      <w:pPr>
        <w:rPr>
          <w:rFonts w:eastAsiaTheme="minorEastAsia"/>
          <w:b/>
          <w:bCs/>
        </w:rPr>
      </w:pPr>
      <m:oMathPara>
        <m:oMath>
          <m:r>
            <m:rPr>
              <m:sty m:val="bi"/>
            </m:rPr>
            <w:rPr>
              <w:rFonts w:ascii="Cambria Math" w:hAnsi="Cambria Math"/>
            </w:rPr>
            <m:t xml:space="preserve"> No. of Ships</m:t>
          </m:r>
        </m:oMath>
      </m:oMathPara>
    </w:p>
    <w:p w14:paraId="09C53AE1" w14:textId="1F8CC57E" w:rsidR="00DF6CB2" w:rsidRPr="000A0B7B" w:rsidRDefault="000A0B7B" w:rsidP="00DF6CB2">
      <w:pPr>
        <w:rPr>
          <w:rFonts w:eastAsiaTheme="minorEastAsia"/>
          <w:b/>
          <w:bCs/>
        </w:rPr>
      </w:pPr>
      <m:oMathPara>
        <m:oMath>
          <m:r>
            <m:rPr>
              <m:sty m:val="bi"/>
            </m:rPr>
            <w:rPr>
              <w:rFonts w:ascii="Cambria Math" w:hAnsi="Cambria Math"/>
            </w:rPr>
            <m:t>x</m:t>
          </m:r>
        </m:oMath>
      </m:oMathPara>
    </w:p>
    <w:p w14:paraId="6E7092CA" w14:textId="6E1AE3CB" w:rsidR="00DF6CB2" w:rsidRPr="000A0B7B" w:rsidRDefault="000A0B7B" w:rsidP="00DF6CB2">
      <w:pPr>
        <w:rPr>
          <w:rFonts w:eastAsiaTheme="minorEastAsia"/>
          <w:b/>
          <w:bCs/>
        </w:rPr>
      </w:pPr>
      <m:oMathPara>
        <m:oMath>
          <m:r>
            <m:rPr>
              <m:sty m:val="bi"/>
            </m:rPr>
            <w:rPr>
              <w:rFonts w:ascii="Cambria Math" w:hAnsi="Cambria Math"/>
            </w:rPr>
            <m:t>20%</m:t>
          </m:r>
        </m:oMath>
      </m:oMathPara>
    </w:p>
    <w:p w14:paraId="6FBC5367" w14:textId="5C62D8B2" w:rsidR="00DF6CB2" w:rsidRPr="000A0B7B" w:rsidRDefault="000A0B7B" w:rsidP="00DF6CB2">
      <w:pPr>
        <w:rPr>
          <w:rFonts w:eastAsiaTheme="minorEastAsia"/>
          <w:b/>
          <w:bCs/>
        </w:rPr>
      </w:pPr>
      <m:oMathPara>
        <m:oMath>
          <m:r>
            <m:rPr>
              <m:sty m:val="bi"/>
            </m:rPr>
            <w:rPr>
              <w:rFonts w:ascii="Cambria Math" w:hAnsi="Cambria Math"/>
            </w:rPr>
            <m:t xml:space="preserve">x </m:t>
          </m:r>
        </m:oMath>
      </m:oMathPara>
    </w:p>
    <w:p w14:paraId="26D898B8" w14:textId="22FB58DC" w:rsidR="00DF6CB2" w:rsidRPr="000A0B7B" w:rsidRDefault="000A0B7B" w:rsidP="00DF6CB2">
      <w:pPr>
        <w:rPr>
          <w:rFonts w:eastAsiaTheme="minorEastAsia"/>
          <w:b/>
          <w:bCs/>
        </w:rPr>
      </w:pPr>
      <m:oMathPara>
        <m:oMath>
          <m:r>
            <m:rPr>
              <m:sty m:val="bi"/>
            </m:rPr>
            <w:rPr>
              <w:rFonts w:ascii="Cambria Math" w:hAnsi="Cambria Math"/>
            </w:rPr>
            <m:t xml:space="preserve">Spot day rate in market </m:t>
          </m:r>
        </m:oMath>
      </m:oMathPara>
    </w:p>
    <w:p w14:paraId="486DA786" w14:textId="77777777" w:rsidR="00DF6CB2" w:rsidRDefault="00DF6CB2" w:rsidP="00DF6CB2">
      <w:pPr>
        <w:rPr>
          <w:rFonts w:eastAsiaTheme="minorEastAsia"/>
        </w:rPr>
      </w:pPr>
    </w:p>
    <w:p w14:paraId="31C09446" w14:textId="0DF25FFE" w:rsidR="00DF6CB2" w:rsidRDefault="000A0B7B" w:rsidP="000A0B7B">
      <w:pPr>
        <w:pStyle w:val="Heading2"/>
        <w:rPr>
          <w:rFonts w:eastAsiaTheme="minorEastAsia"/>
        </w:rPr>
      </w:pPr>
      <w:r>
        <w:rPr>
          <w:rFonts w:eastAsiaTheme="minorEastAsia"/>
        </w:rPr>
        <w:t>Spot Rates Issue</w:t>
      </w:r>
    </w:p>
    <w:p w14:paraId="2C99BCF4" w14:textId="57299BB3" w:rsidR="001C02C6" w:rsidRDefault="00DF6CB2" w:rsidP="00DF6CB2">
      <w:pPr>
        <w:rPr>
          <w:rFonts w:eastAsiaTheme="minorEastAsia"/>
        </w:rPr>
      </w:pPr>
      <w:r>
        <w:rPr>
          <w:rFonts w:eastAsiaTheme="minorEastAsia"/>
        </w:rPr>
        <w:t>Diana</w:t>
      </w:r>
      <w:r w:rsidR="000A0B7B">
        <w:rPr>
          <w:rFonts w:eastAsiaTheme="minorEastAsia"/>
        </w:rPr>
        <w:t xml:space="preserve"> Shipping</w:t>
      </w:r>
      <w:r>
        <w:rPr>
          <w:rFonts w:eastAsiaTheme="minorEastAsia"/>
        </w:rPr>
        <w:t xml:space="preserve"> </w:t>
      </w:r>
      <w:r w:rsidR="000A0B7B">
        <w:rPr>
          <w:rFonts w:eastAsiaTheme="minorEastAsia"/>
        </w:rPr>
        <w:t>C</w:t>
      </w:r>
      <w:r>
        <w:rPr>
          <w:rFonts w:eastAsiaTheme="minorEastAsia"/>
        </w:rPr>
        <w:t>orp fleet d</w:t>
      </w:r>
      <w:r w:rsidR="000A0B7B">
        <w:rPr>
          <w:rFonts w:eastAsiaTheme="minorEastAsia"/>
        </w:rPr>
        <w:t>oes</w:t>
      </w:r>
      <w:r>
        <w:rPr>
          <w:rFonts w:eastAsiaTheme="minorEastAsia"/>
        </w:rPr>
        <w:t xml:space="preserve"> not consist of uniform ship sizes/types. </w:t>
      </w:r>
      <w:r w:rsidR="001C02C6">
        <w:rPr>
          <w:rFonts w:eastAsiaTheme="minorEastAsia"/>
        </w:rPr>
        <w:t xml:space="preserve">Also, since Diana offer bareboat chartering, their prices should be below industry average due to the more basic service they provide. </w:t>
      </w:r>
    </w:p>
    <w:p w14:paraId="724706CE" w14:textId="77777777" w:rsidR="001C02C6" w:rsidRDefault="001C02C6" w:rsidP="00DF6CB2">
      <w:pPr>
        <w:rPr>
          <w:rFonts w:eastAsiaTheme="minorEastAsia"/>
        </w:rPr>
      </w:pPr>
    </w:p>
    <w:p w14:paraId="1D063002" w14:textId="74D980A8" w:rsidR="000A0B7B" w:rsidRDefault="001C02C6" w:rsidP="00DF6CB2">
      <w:pPr>
        <w:rPr>
          <w:rFonts w:eastAsiaTheme="minorEastAsia"/>
        </w:rPr>
      </w:pPr>
      <w:r>
        <w:rPr>
          <w:rFonts w:eastAsiaTheme="minorEastAsia"/>
        </w:rPr>
        <w:t>This</w:t>
      </w:r>
      <w:r w:rsidR="00DF6CB2">
        <w:rPr>
          <w:rFonts w:eastAsiaTheme="minorEastAsia"/>
        </w:rPr>
        <w:t xml:space="preserve"> is unlike Eagle Bulk shipping that had only the 1 </w:t>
      </w:r>
      <w:r w:rsidR="000A0B7B">
        <w:rPr>
          <w:rFonts w:eastAsiaTheme="minorEastAsia"/>
        </w:rPr>
        <w:t xml:space="preserve">general </w:t>
      </w:r>
      <w:r w:rsidR="00DF6CB2">
        <w:rPr>
          <w:rFonts w:eastAsiaTheme="minorEastAsia"/>
        </w:rPr>
        <w:t xml:space="preserve">size and therefore, could use the index for that </w:t>
      </w:r>
      <w:r w:rsidR="000A0B7B">
        <w:rPr>
          <w:rFonts w:eastAsiaTheme="minorEastAsia"/>
        </w:rPr>
        <w:t>relative size</w:t>
      </w:r>
      <w:r w:rsidR="00DF6CB2">
        <w:rPr>
          <w:rFonts w:eastAsiaTheme="minorEastAsia"/>
        </w:rPr>
        <w:t xml:space="preserve"> (Supramax). </w:t>
      </w:r>
      <w:r>
        <w:rPr>
          <w:rFonts w:eastAsiaTheme="minorEastAsia"/>
        </w:rPr>
        <w:t xml:space="preserve">We therefore use Eagle Bulk Shipping as a similar sized entity/industry to calculate a synthetic price for Diana. </w:t>
      </w:r>
    </w:p>
    <w:p w14:paraId="0C57DBAE" w14:textId="77777777" w:rsidR="000A0B7B" w:rsidRDefault="000A0B7B" w:rsidP="00DF6CB2">
      <w:pPr>
        <w:rPr>
          <w:rFonts w:eastAsiaTheme="minorEastAsia"/>
        </w:rPr>
      </w:pPr>
    </w:p>
    <w:p w14:paraId="135E52F5" w14:textId="7101DBED" w:rsidR="00DF6CB2" w:rsidRDefault="000A0B7B" w:rsidP="00DF6CB2">
      <w:pPr>
        <w:rPr>
          <w:rFonts w:eastAsiaTheme="minorEastAsia"/>
        </w:rPr>
      </w:pPr>
      <w:r>
        <w:rPr>
          <w:rFonts w:eastAsiaTheme="minorEastAsia"/>
        </w:rPr>
        <w:t>C</w:t>
      </w:r>
      <w:r w:rsidR="00DF6CB2">
        <w:rPr>
          <w:rFonts w:eastAsiaTheme="minorEastAsia"/>
        </w:rPr>
        <w:t xml:space="preserve">ompanies within the industry quote their weighted charter price. It is a crucial metric that is relied on within the industry. Eagle Bulk Shipping had a weighted charter price of $28,099 per day for Q3 compared to Diana Shipping Corps $23,289. </w:t>
      </w:r>
    </w:p>
    <w:p w14:paraId="2D6E82FB" w14:textId="03A39980" w:rsidR="00C659A8" w:rsidRDefault="00C659A8" w:rsidP="00C659A8">
      <w:pPr>
        <w:jc w:val="center"/>
        <w:rPr>
          <w:lang w:val="en-US"/>
        </w:rPr>
      </w:pPr>
      <w:r w:rsidRPr="00C659A8">
        <w:rPr>
          <w:lang w:val="en-US"/>
        </w:rPr>
        <w:t>Source: Diana Shipping Q3 Earnings Report</w:t>
      </w:r>
    </w:p>
    <w:p w14:paraId="36446D76" w14:textId="4AAFE8E5" w:rsidR="00C659A8" w:rsidRPr="00C659A8" w:rsidRDefault="00C659A8" w:rsidP="00C659A8">
      <w:pPr>
        <w:jc w:val="center"/>
        <w:rPr>
          <w:lang w:val="en-US"/>
        </w:rPr>
      </w:pPr>
      <w:r>
        <w:rPr>
          <w:lang w:val="en-US"/>
        </w:rPr>
        <w:t>Source: Eagle Bulk Shipping Q3 Earnings Report</w:t>
      </w:r>
    </w:p>
    <w:p w14:paraId="6F5F1326" w14:textId="77777777" w:rsidR="00C659A8" w:rsidRDefault="00C659A8" w:rsidP="00DF6CB2">
      <w:pPr>
        <w:rPr>
          <w:rFonts w:eastAsiaTheme="minorEastAsia"/>
        </w:rPr>
      </w:pPr>
    </w:p>
    <w:p w14:paraId="24A13502" w14:textId="44FED6A2" w:rsidR="00DF6CB2" w:rsidRDefault="00DF6CB2" w:rsidP="00DF6CB2">
      <w:pPr>
        <w:rPr>
          <w:rFonts w:eastAsiaTheme="minorEastAsia"/>
        </w:rPr>
      </w:pPr>
    </w:p>
    <w:p w14:paraId="7F7CCFC7" w14:textId="38A9A91A" w:rsidR="000A0B7B" w:rsidRDefault="000A0B7B" w:rsidP="00DF6CB2">
      <w:pPr>
        <w:rPr>
          <w:rFonts w:eastAsiaTheme="minorEastAsia"/>
        </w:rPr>
      </w:pPr>
      <w:r>
        <w:rPr>
          <w:rFonts w:eastAsiaTheme="minorEastAsia"/>
        </w:rPr>
        <w:t>We can use this to account for the bareboat chartering effect and the diverse fleet effect.</w:t>
      </w:r>
    </w:p>
    <w:p w14:paraId="577B4373" w14:textId="77777777" w:rsidR="00DF6CB2" w:rsidRDefault="00DF6CB2" w:rsidP="00DF6CB2">
      <w:pPr>
        <w:rPr>
          <w:rFonts w:eastAsiaTheme="minorEastAsia"/>
        </w:rPr>
      </w:pPr>
      <w:r>
        <w:rPr>
          <w:rFonts w:eastAsiaTheme="minorEastAsia"/>
        </w:rPr>
        <w:lastRenderedPageBreak/>
        <w:t xml:space="preserve">Using this fraction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23,289</m:t>
            </m:r>
          </m:num>
          <m:den>
            <m:r>
              <w:rPr>
                <w:rFonts w:ascii="Cambria Math" w:eastAsiaTheme="minorEastAsia" w:hAnsi="Cambria Math"/>
              </w:rPr>
              <m:t>28,099</m:t>
            </m:r>
          </m:den>
        </m:f>
        <m:r>
          <w:rPr>
            <w:rFonts w:ascii="Cambria Math" w:eastAsiaTheme="minorEastAsia" w:hAnsi="Cambria Math"/>
          </w:rPr>
          <m:t>)</m:t>
        </m:r>
      </m:oMath>
      <w:r>
        <w:rPr>
          <w:rFonts w:eastAsiaTheme="minorEastAsia"/>
        </w:rPr>
        <w:t xml:space="preserve">, we see that Diana SC’s weighted sales price is 82.88% of Eagle Bulks shipping and therefore, we can use 82.88% of their Q4 index price as the weighted sales price for Diana SC for the corresponding quarter. </w:t>
      </w:r>
    </w:p>
    <w:p w14:paraId="2ED775AF" w14:textId="77777777" w:rsidR="00DF6CB2" w:rsidRDefault="00DF6CB2" w:rsidP="00DF6CB2">
      <w:pPr>
        <w:rPr>
          <w:rFonts w:eastAsiaTheme="minorEastAsia"/>
        </w:rPr>
      </w:pPr>
    </w:p>
    <w:p w14:paraId="675387B2" w14:textId="79750F7E" w:rsidR="00DF6CB2" w:rsidRDefault="00DF6CB2" w:rsidP="00DF6CB2">
      <w:pPr>
        <w:rPr>
          <w:rFonts w:eastAsiaTheme="minorEastAsia"/>
        </w:rPr>
      </w:pPr>
      <w:r>
        <w:rPr>
          <w:rFonts w:eastAsiaTheme="minorEastAsia"/>
        </w:rPr>
        <w:t xml:space="preserve">This gives a spot value of </w:t>
      </w:r>
      <w:r w:rsidRPr="000A0B7B">
        <w:rPr>
          <w:rFonts w:eastAsiaTheme="minorEastAsia"/>
          <w:b/>
          <w:bCs/>
        </w:rPr>
        <w:t>9.03mn.</w:t>
      </w:r>
      <w:r>
        <w:rPr>
          <w:rFonts w:eastAsiaTheme="minorEastAsia"/>
        </w:rPr>
        <w:t xml:space="preserve"> </w:t>
      </w:r>
      <w:r w:rsidR="000A0B7B">
        <w:rPr>
          <w:rFonts w:eastAsiaTheme="minorEastAsia"/>
        </w:rPr>
        <w:t xml:space="preserve">for the Q4 spot revenue to add onto the 35mn </w:t>
      </w:r>
      <w:r w:rsidR="00B6692C">
        <w:rPr>
          <w:rFonts w:eastAsiaTheme="minorEastAsia"/>
        </w:rPr>
        <w:t xml:space="preserve">fixed revenue. </w:t>
      </w:r>
      <w:r>
        <w:rPr>
          <w:rFonts w:eastAsiaTheme="minorEastAsia"/>
        </w:rPr>
        <w:t xml:space="preserve">A 2022 total value of 258.3mn is achieved. </w:t>
      </w:r>
    </w:p>
    <w:p w14:paraId="2457669A" w14:textId="77777777" w:rsidR="00DF6CB2" w:rsidRDefault="00DF6CB2" w:rsidP="00DF6CB2">
      <w:pPr>
        <w:rPr>
          <w:rFonts w:eastAsiaTheme="minorEastAsia"/>
        </w:rPr>
      </w:pPr>
    </w:p>
    <w:p w14:paraId="4807E083" w14:textId="67D5548A" w:rsidR="00DF6CB2" w:rsidRDefault="00DF6CB2" w:rsidP="001C02C6">
      <w:pPr>
        <w:pStyle w:val="Heading2"/>
        <w:rPr>
          <w:lang w:val="en-US"/>
        </w:rPr>
      </w:pPr>
      <w:r w:rsidRPr="00B2796A">
        <w:rPr>
          <w:lang w:val="en-US"/>
        </w:rPr>
        <w:t>Calculating the Revenues for 2023-202</w:t>
      </w:r>
      <w:r>
        <w:rPr>
          <w:lang w:val="en-US"/>
        </w:rPr>
        <w:t>7</w:t>
      </w:r>
    </w:p>
    <w:p w14:paraId="7E1914CF" w14:textId="77777777" w:rsidR="001C02C6" w:rsidRPr="001C02C6" w:rsidRDefault="001C02C6" w:rsidP="001C02C6">
      <w:pPr>
        <w:rPr>
          <w:lang w:val="en-US"/>
        </w:rPr>
      </w:pPr>
    </w:p>
    <w:p w14:paraId="713CCEC3" w14:textId="796BDABB" w:rsidR="00DF6CB2" w:rsidRDefault="00DF6CB2" w:rsidP="00DF6CB2">
      <w:pPr>
        <w:rPr>
          <w:lang w:val="en-US"/>
        </w:rPr>
      </w:pPr>
      <w:r>
        <w:rPr>
          <w:lang w:val="en-US"/>
        </w:rPr>
        <w:t>For 2023-202</w:t>
      </w:r>
      <w:r w:rsidR="00FB1BA6">
        <w:rPr>
          <w:lang w:val="en-US"/>
        </w:rPr>
        <w:t>7</w:t>
      </w:r>
      <w:r>
        <w:rPr>
          <w:lang w:val="en-US"/>
        </w:rPr>
        <w:t xml:space="preserve">, we have used the BSI Forward Assessment Rates and calculated the revenues. Given the fact that we are using percent change YoY, the small discrepancy between the weighted sales price of Diana shipping Corp and the index price should be alleviated. </w:t>
      </w:r>
    </w:p>
    <w:p w14:paraId="44D5127D" w14:textId="77777777" w:rsidR="00DF6CB2" w:rsidRDefault="00DF6CB2" w:rsidP="00DF6CB2">
      <w:pPr>
        <w:rPr>
          <w:lang w:val="en-US"/>
        </w:rPr>
      </w:pPr>
    </w:p>
    <w:p w14:paraId="3D3324CB" w14:textId="77777777" w:rsidR="00DF6CB2" w:rsidRDefault="00DF6CB2" w:rsidP="00DF6CB2">
      <w:pPr>
        <w:rPr>
          <w:lang w:val="en-US"/>
        </w:rPr>
      </w:pPr>
      <w:r>
        <w:rPr>
          <w:lang w:val="en-US"/>
        </w:rPr>
        <w:t>Using the Baltic Supramax Forward Rate assessments, we have estimated the revenues for 2023-2027.</w:t>
      </w:r>
    </w:p>
    <w:p w14:paraId="6E176259" w14:textId="77777777" w:rsidR="00DF6CB2" w:rsidRDefault="00DF6CB2" w:rsidP="00DF6CB2">
      <w:pPr>
        <w:rPr>
          <w:lang w:val="en-US"/>
        </w:rPr>
      </w:pPr>
      <w:r>
        <w:rPr>
          <w:noProof/>
        </w:rPr>
        <w:drawing>
          <wp:inline distT="0" distB="0" distL="0" distR="0" wp14:anchorId="70AEEC5C" wp14:editId="01AE7E83">
            <wp:extent cx="5731510" cy="1934845"/>
            <wp:effectExtent l="0" t="0" r="2540" b="8255"/>
            <wp:docPr id="24" name="Picture 24"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hart, histogram&#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31510" cy="1934845"/>
                    </a:xfrm>
                    <a:prstGeom prst="rect">
                      <a:avLst/>
                    </a:prstGeom>
                    <a:noFill/>
                    <a:ln>
                      <a:noFill/>
                    </a:ln>
                  </pic:spPr>
                </pic:pic>
              </a:graphicData>
            </a:graphic>
          </wp:inline>
        </w:drawing>
      </w:r>
    </w:p>
    <w:p w14:paraId="1224F209" w14:textId="77777777" w:rsidR="00DF6CB2" w:rsidRDefault="00DF6CB2" w:rsidP="00DF6CB2">
      <w:pPr>
        <w:jc w:val="center"/>
        <w:rPr>
          <w:lang w:val="en-US"/>
        </w:rPr>
      </w:pPr>
      <w:r>
        <w:rPr>
          <w:lang w:val="en-US"/>
        </w:rPr>
        <w:t>Baltic Exchange – BSI Forward Assessment Rates</w:t>
      </w:r>
    </w:p>
    <w:p w14:paraId="2E6606EE" w14:textId="77777777" w:rsidR="00DF6CB2" w:rsidRDefault="00DF6CB2" w:rsidP="00DF6CB2">
      <w:pPr>
        <w:jc w:val="center"/>
        <w:rPr>
          <w:lang w:val="en-US"/>
        </w:rPr>
      </w:pPr>
    </w:p>
    <w:p w14:paraId="1B24B320" w14:textId="77777777" w:rsidR="00DF6CB2" w:rsidRDefault="00DF6CB2" w:rsidP="00DF6CB2">
      <w:pPr>
        <w:rPr>
          <w:lang w:val="en-US"/>
        </w:rPr>
      </w:pPr>
      <w:r>
        <w:rPr>
          <w:lang w:val="en-US"/>
        </w:rPr>
        <w:t xml:space="preserve">Using the calculated revenue of 258.3mn for 2022, we applied a year-on-year percentage change on the index to calculate the revenues. </w:t>
      </w:r>
    </w:p>
    <w:p w14:paraId="69F8A438" w14:textId="77777777" w:rsidR="00DF6CB2" w:rsidRDefault="00DF6CB2" w:rsidP="00DF6CB2">
      <w:pPr>
        <w:rPr>
          <w:rFonts w:eastAsiaTheme="minorEastAsia"/>
          <w:lang w:val="en-US"/>
        </w:rPr>
      </w:pPr>
      <w:r>
        <w:rPr>
          <w:lang w:val="en-US"/>
        </w:rPr>
        <w:t xml:space="preserve">The year-on-year changes have been calculated as </w:t>
      </w:r>
      <m:oMath>
        <m:f>
          <m:fPr>
            <m:ctrlPr>
              <w:rPr>
                <w:rFonts w:ascii="Cambria Math" w:hAnsi="Cambria Math"/>
                <w:i/>
                <w:lang w:val="en-US"/>
              </w:rPr>
            </m:ctrlPr>
          </m:fPr>
          <m:num>
            <m:r>
              <w:rPr>
                <w:rFonts w:ascii="Cambria Math" w:hAnsi="Cambria Math"/>
                <w:lang w:val="en-US"/>
              </w:rPr>
              <m:t>Final Value-Initial Value</m:t>
            </m:r>
          </m:num>
          <m:den>
            <m:r>
              <w:rPr>
                <w:rFonts w:ascii="Cambria Math" w:hAnsi="Cambria Math"/>
                <w:lang w:val="en-US"/>
              </w:rPr>
              <m:t>Initial Value</m:t>
            </m:r>
          </m:den>
        </m:f>
      </m:oMath>
    </w:p>
    <w:p w14:paraId="02C0F122" w14:textId="77777777" w:rsidR="00DF6CB2" w:rsidRDefault="00DF6CB2" w:rsidP="00DF6CB2">
      <w:pPr>
        <w:rPr>
          <w:lang w:val="en-US"/>
        </w:rPr>
      </w:pPr>
    </w:p>
    <w:p w14:paraId="3EEF5156" w14:textId="77777777" w:rsidR="00DF6CB2" w:rsidRDefault="00DF6CB2" w:rsidP="00DF6CB2">
      <w:pPr>
        <w:rPr>
          <w:lang w:val="en-US"/>
        </w:rPr>
      </w:pPr>
      <w:r>
        <w:rPr>
          <w:lang w:val="en-US"/>
        </w:rPr>
        <w:t>The forward rates for 2023-27 on the BSI Forward Assessments are as below:</w:t>
      </w:r>
    </w:p>
    <w:p w14:paraId="7E101B9E" w14:textId="77777777" w:rsidR="00DF6CB2" w:rsidRDefault="00DF6CB2" w:rsidP="00DF6CB2">
      <w:pPr>
        <w:rPr>
          <w:lang w:val="en-US"/>
        </w:rPr>
      </w:pPr>
    </w:p>
    <w:tbl>
      <w:tblPr>
        <w:tblW w:w="4168" w:type="dxa"/>
        <w:jc w:val="center"/>
        <w:tblLook w:val="04A0" w:firstRow="1" w:lastRow="0" w:firstColumn="1" w:lastColumn="0" w:noHBand="0" w:noVBand="1"/>
      </w:tblPr>
      <w:tblGrid>
        <w:gridCol w:w="1695"/>
        <w:gridCol w:w="1108"/>
        <w:gridCol w:w="1365"/>
      </w:tblGrid>
      <w:tr w:rsidR="00DF6CB2" w:rsidRPr="00222260" w14:paraId="46D6ED06" w14:textId="77777777" w:rsidTr="00B3714A">
        <w:trPr>
          <w:trHeight w:val="616"/>
          <w:jc w:val="center"/>
        </w:trPr>
        <w:tc>
          <w:tcPr>
            <w:tcW w:w="1695" w:type="dxa"/>
            <w:tcBorders>
              <w:top w:val="single" w:sz="8" w:space="0" w:color="0176A0"/>
              <w:left w:val="nil"/>
              <w:bottom w:val="single" w:sz="8" w:space="0" w:color="0176A0"/>
              <w:right w:val="single" w:sz="8" w:space="0" w:color="0176A0"/>
            </w:tcBorders>
            <w:shd w:val="clear" w:color="000000" w:fill="002C48"/>
            <w:vAlign w:val="center"/>
            <w:hideMark/>
          </w:tcPr>
          <w:p w14:paraId="4B008943" w14:textId="77777777" w:rsidR="00DF6CB2" w:rsidRPr="00222260" w:rsidRDefault="00DF6CB2" w:rsidP="00B3714A">
            <w:pPr>
              <w:ind w:firstLineChars="100" w:firstLine="120"/>
              <w:rPr>
                <w:rFonts w:ascii="Arial" w:eastAsia="Times New Roman" w:hAnsi="Arial" w:cs="Arial"/>
                <w:color w:val="FFFFFF"/>
                <w:sz w:val="12"/>
                <w:szCs w:val="12"/>
                <w:lang w:eastAsia="en-IN"/>
              </w:rPr>
            </w:pPr>
            <w:r w:rsidRPr="00222260">
              <w:rPr>
                <w:rFonts w:ascii="Arial" w:eastAsia="Times New Roman" w:hAnsi="Arial" w:cs="Arial"/>
                <w:color w:val="FFFFFF"/>
                <w:sz w:val="12"/>
                <w:szCs w:val="12"/>
                <w:lang w:eastAsia="en-IN"/>
              </w:rPr>
              <w:t>10TC_S+1CAL</w:t>
            </w:r>
          </w:p>
        </w:tc>
        <w:tc>
          <w:tcPr>
            <w:tcW w:w="1108" w:type="dxa"/>
            <w:tcBorders>
              <w:top w:val="single" w:sz="8" w:space="0" w:color="0176A0"/>
              <w:left w:val="nil"/>
              <w:bottom w:val="single" w:sz="8" w:space="0" w:color="0176A0"/>
              <w:right w:val="single" w:sz="8" w:space="0" w:color="0176A0"/>
            </w:tcBorders>
            <w:shd w:val="clear" w:color="000000" w:fill="002C48"/>
            <w:vAlign w:val="center"/>
            <w:hideMark/>
          </w:tcPr>
          <w:p w14:paraId="6E9EBBC2" w14:textId="77777777" w:rsidR="00DF6CB2" w:rsidRPr="00222260" w:rsidRDefault="00DF6CB2" w:rsidP="00B3714A">
            <w:pPr>
              <w:ind w:firstLineChars="100" w:firstLine="120"/>
              <w:rPr>
                <w:rFonts w:ascii="Arial" w:eastAsia="Times New Roman" w:hAnsi="Arial" w:cs="Arial"/>
                <w:color w:val="FFFFFF"/>
                <w:sz w:val="12"/>
                <w:szCs w:val="12"/>
                <w:lang w:eastAsia="en-IN"/>
              </w:rPr>
            </w:pPr>
            <w:r w:rsidRPr="00222260">
              <w:rPr>
                <w:rFonts w:ascii="Arial" w:eastAsia="Times New Roman" w:hAnsi="Arial" w:cs="Arial"/>
                <w:color w:val="FFFFFF"/>
                <w:sz w:val="12"/>
                <w:szCs w:val="12"/>
                <w:lang w:eastAsia="en-IN"/>
              </w:rPr>
              <w:t>Cal 23</w:t>
            </w:r>
          </w:p>
        </w:tc>
        <w:tc>
          <w:tcPr>
            <w:tcW w:w="1365" w:type="dxa"/>
            <w:tcBorders>
              <w:top w:val="single" w:sz="8" w:space="0" w:color="0176A0"/>
              <w:left w:val="nil"/>
              <w:bottom w:val="single" w:sz="8" w:space="0" w:color="0176A0"/>
              <w:right w:val="single" w:sz="8" w:space="0" w:color="0176A0"/>
            </w:tcBorders>
            <w:shd w:val="clear" w:color="000000" w:fill="002C48"/>
            <w:vAlign w:val="center"/>
            <w:hideMark/>
          </w:tcPr>
          <w:p w14:paraId="5A95FB4F" w14:textId="77777777" w:rsidR="00DF6CB2" w:rsidRPr="00222260" w:rsidRDefault="00DF6CB2" w:rsidP="00B3714A">
            <w:pPr>
              <w:ind w:firstLineChars="100" w:firstLine="120"/>
              <w:rPr>
                <w:rFonts w:ascii="Arial" w:eastAsia="Times New Roman" w:hAnsi="Arial" w:cs="Arial"/>
                <w:color w:val="FFFFFF"/>
                <w:sz w:val="12"/>
                <w:szCs w:val="12"/>
                <w:lang w:eastAsia="en-IN"/>
              </w:rPr>
            </w:pPr>
            <w:r w:rsidRPr="00222260">
              <w:rPr>
                <w:rFonts w:ascii="Arial" w:eastAsia="Times New Roman" w:hAnsi="Arial" w:cs="Arial"/>
                <w:color w:val="FFFFFF"/>
                <w:sz w:val="12"/>
                <w:szCs w:val="12"/>
                <w:lang w:eastAsia="en-IN"/>
              </w:rPr>
              <w:t>11,559 $/day</w:t>
            </w:r>
            <w:r w:rsidRPr="00222260">
              <w:rPr>
                <w:rFonts w:ascii="Arial" w:eastAsia="Times New Roman" w:hAnsi="Arial" w:cs="Arial"/>
                <w:color w:val="FFFFFF"/>
                <w:sz w:val="10"/>
                <w:szCs w:val="10"/>
                <w:lang w:eastAsia="en-IN"/>
              </w:rPr>
              <w:t>08/11/22</w:t>
            </w:r>
          </w:p>
        </w:tc>
      </w:tr>
      <w:tr w:rsidR="00DF6CB2" w:rsidRPr="00222260" w14:paraId="3908C2C8" w14:textId="77777777" w:rsidTr="00B3714A">
        <w:trPr>
          <w:trHeight w:val="616"/>
          <w:jc w:val="center"/>
        </w:trPr>
        <w:tc>
          <w:tcPr>
            <w:tcW w:w="1695" w:type="dxa"/>
            <w:tcBorders>
              <w:top w:val="nil"/>
              <w:left w:val="nil"/>
              <w:bottom w:val="single" w:sz="8" w:space="0" w:color="0176A0"/>
              <w:right w:val="single" w:sz="8" w:space="0" w:color="0176A0"/>
            </w:tcBorders>
            <w:shd w:val="clear" w:color="000000" w:fill="002C48"/>
            <w:vAlign w:val="center"/>
            <w:hideMark/>
          </w:tcPr>
          <w:p w14:paraId="3E4FEB87" w14:textId="77777777" w:rsidR="00DF6CB2" w:rsidRPr="00222260" w:rsidRDefault="00DF6CB2" w:rsidP="00B3714A">
            <w:pPr>
              <w:ind w:firstLineChars="100" w:firstLine="120"/>
              <w:rPr>
                <w:rFonts w:ascii="Arial" w:eastAsia="Times New Roman" w:hAnsi="Arial" w:cs="Arial"/>
                <w:color w:val="FFFFFF"/>
                <w:sz w:val="12"/>
                <w:szCs w:val="12"/>
                <w:lang w:eastAsia="en-IN"/>
              </w:rPr>
            </w:pPr>
            <w:r w:rsidRPr="00222260">
              <w:rPr>
                <w:rFonts w:ascii="Arial" w:eastAsia="Times New Roman" w:hAnsi="Arial" w:cs="Arial"/>
                <w:color w:val="FFFFFF"/>
                <w:sz w:val="12"/>
                <w:szCs w:val="12"/>
                <w:lang w:eastAsia="en-IN"/>
              </w:rPr>
              <w:t>10TC_S+2CAL</w:t>
            </w:r>
          </w:p>
        </w:tc>
        <w:tc>
          <w:tcPr>
            <w:tcW w:w="1108" w:type="dxa"/>
            <w:tcBorders>
              <w:top w:val="nil"/>
              <w:left w:val="nil"/>
              <w:bottom w:val="single" w:sz="8" w:space="0" w:color="0176A0"/>
              <w:right w:val="single" w:sz="8" w:space="0" w:color="0176A0"/>
            </w:tcBorders>
            <w:shd w:val="clear" w:color="000000" w:fill="002C48"/>
            <w:vAlign w:val="center"/>
            <w:hideMark/>
          </w:tcPr>
          <w:p w14:paraId="1B0B668C" w14:textId="77777777" w:rsidR="00DF6CB2" w:rsidRPr="00222260" w:rsidRDefault="00DF6CB2" w:rsidP="00B3714A">
            <w:pPr>
              <w:ind w:firstLineChars="100" w:firstLine="120"/>
              <w:rPr>
                <w:rFonts w:ascii="Arial" w:eastAsia="Times New Roman" w:hAnsi="Arial" w:cs="Arial"/>
                <w:color w:val="FFFFFF"/>
                <w:sz w:val="12"/>
                <w:szCs w:val="12"/>
                <w:lang w:eastAsia="en-IN"/>
              </w:rPr>
            </w:pPr>
            <w:r w:rsidRPr="00222260">
              <w:rPr>
                <w:rFonts w:ascii="Arial" w:eastAsia="Times New Roman" w:hAnsi="Arial" w:cs="Arial"/>
                <w:color w:val="FFFFFF"/>
                <w:sz w:val="12"/>
                <w:szCs w:val="12"/>
                <w:lang w:eastAsia="en-IN"/>
              </w:rPr>
              <w:t>Cal 24</w:t>
            </w:r>
          </w:p>
        </w:tc>
        <w:tc>
          <w:tcPr>
            <w:tcW w:w="1365" w:type="dxa"/>
            <w:tcBorders>
              <w:top w:val="nil"/>
              <w:left w:val="nil"/>
              <w:bottom w:val="single" w:sz="8" w:space="0" w:color="0176A0"/>
              <w:right w:val="single" w:sz="8" w:space="0" w:color="0176A0"/>
            </w:tcBorders>
            <w:shd w:val="clear" w:color="000000" w:fill="002C48"/>
            <w:vAlign w:val="center"/>
            <w:hideMark/>
          </w:tcPr>
          <w:p w14:paraId="1F69CDCC" w14:textId="77777777" w:rsidR="00DF6CB2" w:rsidRPr="00222260" w:rsidRDefault="00DF6CB2" w:rsidP="00B3714A">
            <w:pPr>
              <w:ind w:firstLineChars="100" w:firstLine="120"/>
              <w:rPr>
                <w:rFonts w:ascii="Arial" w:eastAsia="Times New Roman" w:hAnsi="Arial" w:cs="Arial"/>
                <w:color w:val="FFFFFF"/>
                <w:sz w:val="12"/>
                <w:szCs w:val="12"/>
                <w:lang w:eastAsia="en-IN"/>
              </w:rPr>
            </w:pPr>
            <w:r w:rsidRPr="00222260">
              <w:rPr>
                <w:rFonts w:ascii="Arial" w:eastAsia="Times New Roman" w:hAnsi="Arial" w:cs="Arial"/>
                <w:color w:val="FFFFFF"/>
                <w:sz w:val="12"/>
                <w:szCs w:val="12"/>
                <w:lang w:eastAsia="en-IN"/>
              </w:rPr>
              <w:t>11,117 $/day</w:t>
            </w:r>
            <w:r w:rsidRPr="00222260">
              <w:rPr>
                <w:rFonts w:ascii="Arial" w:eastAsia="Times New Roman" w:hAnsi="Arial" w:cs="Arial"/>
                <w:color w:val="FFFFFF"/>
                <w:sz w:val="10"/>
                <w:szCs w:val="10"/>
                <w:lang w:eastAsia="en-IN"/>
              </w:rPr>
              <w:t>08/11/22</w:t>
            </w:r>
          </w:p>
        </w:tc>
      </w:tr>
      <w:tr w:rsidR="00DF6CB2" w:rsidRPr="00222260" w14:paraId="56155DD2" w14:textId="77777777" w:rsidTr="00B3714A">
        <w:trPr>
          <w:trHeight w:val="616"/>
          <w:jc w:val="center"/>
        </w:trPr>
        <w:tc>
          <w:tcPr>
            <w:tcW w:w="1695" w:type="dxa"/>
            <w:tcBorders>
              <w:top w:val="nil"/>
              <w:left w:val="nil"/>
              <w:bottom w:val="single" w:sz="8" w:space="0" w:color="0176A0"/>
              <w:right w:val="single" w:sz="8" w:space="0" w:color="0176A0"/>
            </w:tcBorders>
            <w:shd w:val="clear" w:color="000000" w:fill="002C48"/>
            <w:vAlign w:val="center"/>
            <w:hideMark/>
          </w:tcPr>
          <w:p w14:paraId="20254AED" w14:textId="77777777" w:rsidR="00DF6CB2" w:rsidRPr="00222260" w:rsidRDefault="00DF6CB2" w:rsidP="00B3714A">
            <w:pPr>
              <w:ind w:firstLineChars="100" w:firstLine="120"/>
              <w:rPr>
                <w:rFonts w:ascii="Arial" w:eastAsia="Times New Roman" w:hAnsi="Arial" w:cs="Arial"/>
                <w:color w:val="FFFFFF"/>
                <w:sz w:val="12"/>
                <w:szCs w:val="12"/>
                <w:lang w:eastAsia="en-IN"/>
              </w:rPr>
            </w:pPr>
            <w:r w:rsidRPr="00222260">
              <w:rPr>
                <w:rFonts w:ascii="Arial" w:eastAsia="Times New Roman" w:hAnsi="Arial" w:cs="Arial"/>
                <w:color w:val="FFFFFF"/>
                <w:sz w:val="12"/>
                <w:szCs w:val="12"/>
                <w:lang w:eastAsia="en-IN"/>
              </w:rPr>
              <w:t>10TC_S+3CAL</w:t>
            </w:r>
          </w:p>
        </w:tc>
        <w:tc>
          <w:tcPr>
            <w:tcW w:w="1108" w:type="dxa"/>
            <w:tcBorders>
              <w:top w:val="nil"/>
              <w:left w:val="nil"/>
              <w:bottom w:val="single" w:sz="8" w:space="0" w:color="0176A0"/>
              <w:right w:val="single" w:sz="8" w:space="0" w:color="0176A0"/>
            </w:tcBorders>
            <w:shd w:val="clear" w:color="000000" w:fill="002C48"/>
            <w:vAlign w:val="center"/>
            <w:hideMark/>
          </w:tcPr>
          <w:p w14:paraId="51B81886" w14:textId="77777777" w:rsidR="00DF6CB2" w:rsidRPr="00222260" w:rsidRDefault="00DF6CB2" w:rsidP="00B3714A">
            <w:pPr>
              <w:ind w:firstLineChars="100" w:firstLine="120"/>
              <w:rPr>
                <w:rFonts w:ascii="Arial" w:eastAsia="Times New Roman" w:hAnsi="Arial" w:cs="Arial"/>
                <w:color w:val="FFFFFF"/>
                <w:sz w:val="12"/>
                <w:szCs w:val="12"/>
                <w:lang w:eastAsia="en-IN"/>
              </w:rPr>
            </w:pPr>
            <w:r w:rsidRPr="00222260">
              <w:rPr>
                <w:rFonts w:ascii="Arial" w:eastAsia="Times New Roman" w:hAnsi="Arial" w:cs="Arial"/>
                <w:color w:val="FFFFFF"/>
                <w:sz w:val="12"/>
                <w:szCs w:val="12"/>
                <w:lang w:eastAsia="en-IN"/>
              </w:rPr>
              <w:t>Cal 25</w:t>
            </w:r>
          </w:p>
        </w:tc>
        <w:tc>
          <w:tcPr>
            <w:tcW w:w="1365" w:type="dxa"/>
            <w:tcBorders>
              <w:top w:val="nil"/>
              <w:left w:val="nil"/>
              <w:bottom w:val="single" w:sz="8" w:space="0" w:color="0176A0"/>
              <w:right w:val="single" w:sz="8" w:space="0" w:color="0176A0"/>
            </w:tcBorders>
            <w:shd w:val="clear" w:color="000000" w:fill="002C48"/>
            <w:vAlign w:val="center"/>
            <w:hideMark/>
          </w:tcPr>
          <w:p w14:paraId="1E91AFE3" w14:textId="77777777" w:rsidR="00DF6CB2" w:rsidRPr="00222260" w:rsidRDefault="00DF6CB2" w:rsidP="00B3714A">
            <w:pPr>
              <w:ind w:firstLineChars="100" w:firstLine="120"/>
              <w:rPr>
                <w:rFonts w:ascii="Arial" w:eastAsia="Times New Roman" w:hAnsi="Arial" w:cs="Arial"/>
                <w:color w:val="FFFFFF"/>
                <w:sz w:val="12"/>
                <w:szCs w:val="12"/>
                <w:lang w:eastAsia="en-IN"/>
              </w:rPr>
            </w:pPr>
            <w:r w:rsidRPr="00222260">
              <w:rPr>
                <w:rFonts w:ascii="Arial" w:eastAsia="Times New Roman" w:hAnsi="Arial" w:cs="Arial"/>
                <w:color w:val="FFFFFF"/>
                <w:sz w:val="12"/>
                <w:szCs w:val="12"/>
                <w:lang w:eastAsia="en-IN"/>
              </w:rPr>
              <w:t>11,371 $/day</w:t>
            </w:r>
            <w:r w:rsidRPr="00222260">
              <w:rPr>
                <w:rFonts w:ascii="Arial" w:eastAsia="Times New Roman" w:hAnsi="Arial" w:cs="Arial"/>
                <w:color w:val="FFFFFF"/>
                <w:sz w:val="10"/>
                <w:szCs w:val="10"/>
                <w:lang w:eastAsia="en-IN"/>
              </w:rPr>
              <w:t>08/11/22</w:t>
            </w:r>
          </w:p>
        </w:tc>
      </w:tr>
      <w:tr w:rsidR="00DF6CB2" w:rsidRPr="00222260" w14:paraId="6DD17570" w14:textId="77777777" w:rsidTr="00B3714A">
        <w:trPr>
          <w:trHeight w:val="616"/>
          <w:jc w:val="center"/>
        </w:trPr>
        <w:tc>
          <w:tcPr>
            <w:tcW w:w="1695" w:type="dxa"/>
            <w:tcBorders>
              <w:top w:val="nil"/>
              <w:left w:val="nil"/>
              <w:bottom w:val="single" w:sz="8" w:space="0" w:color="0176A0"/>
              <w:right w:val="single" w:sz="8" w:space="0" w:color="0176A0"/>
            </w:tcBorders>
            <w:shd w:val="clear" w:color="000000" w:fill="002C48"/>
            <w:vAlign w:val="center"/>
            <w:hideMark/>
          </w:tcPr>
          <w:p w14:paraId="0CBD30A3" w14:textId="77777777" w:rsidR="00DF6CB2" w:rsidRPr="00222260" w:rsidRDefault="00DF6CB2" w:rsidP="00B3714A">
            <w:pPr>
              <w:ind w:firstLineChars="100" w:firstLine="120"/>
              <w:rPr>
                <w:rFonts w:ascii="Arial" w:eastAsia="Times New Roman" w:hAnsi="Arial" w:cs="Arial"/>
                <w:color w:val="FFFFFF"/>
                <w:sz w:val="12"/>
                <w:szCs w:val="12"/>
                <w:lang w:eastAsia="en-IN"/>
              </w:rPr>
            </w:pPr>
            <w:r w:rsidRPr="00222260">
              <w:rPr>
                <w:rFonts w:ascii="Arial" w:eastAsia="Times New Roman" w:hAnsi="Arial" w:cs="Arial"/>
                <w:color w:val="FFFFFF"/>
                <w:sz w:val="12"/>
                <w:szCs w:val="12"/>
                <w:lang w:eastAsia="en-IN"/>
              </w:rPr>
              <w:t>10TC_S+4CAL</w:t>
            </w:r>
          </w:p>
        </w:tc>
        <w:tc>
          <w:tcPr>
            <w:tcW w:w="1108" w:type="dxa"/>
            <w:tcBorders>
              <w:top w:val="nil"/>
              <w:left w:val="nil"/>
              <w:bottom w:val="single" w:sz="8" w:space="0" w:color="0176A0"/>
              <w:right w:val="single" w:sz="8" w:space="0" w:color="0176A0"/>
            </w:tcBorders>
            <w:shd w:val="clear" w:color="000000" w:fill="002C48"/>
            <w:vAlign w:val="center"/>
            <w:hideMark/>
          </w:tcPr>
          <w:p w14:paraId="50FF8D8B" w14:textId="77777777" w:rsidR="00DF6CB2" w:rsidRPr="00222260" w:rsidRDefault="00DF6CB2" w:rsidP="00B3714A">
            <w:pPr>
              <w:ind w:firstLineChars="100" w:firstLine="120"/>
              <w:rPr>
                <w:rFonts w:ascii="Arial" w:eastAsia="Times New Roman" w:hAnsi="Arial" w:cs="Arial"/>
                <w:color w:val="FFFFFF"/>
                <w:sz w:val="12"/>
                <w:szCs w:val="12"/>
                <w:lang w:eastAsia="en-IN"/>
              </w:rPr>
            </w:pPr>
            <w:r w:rsidRPr="00222260">
              <w:rPr>
                <w:rFonts w:ascii="Arial" w:eastAsia="Times New Roman" w:hAnsi="Arial" w:cs="Arial"/>
                <w:color w:val="FFFFFF"/>
                <w:sz w:val="12"/>
                <w:szCs w:val="12"/>
                <w:lang w:eastAsia="en-IN"/>
              </w:rPr>
              <w:t>Cal 26</w:t>
            </w:r>
          </w:p>
        </w:tc>
        <w:tc>
          <w:tcPr>
            <w:tcW w:w="1365" w:type="dxa"/>
            <w:tcBorders>
              <w:top w:val="nil"/>
              <w:left w:val="nil"/>
              <w:bottom w:val="single" w:sz="8" w:space="0" w:color="0176A0"/>
              <w:right w:val="single" w:sz="8" w:space="0" w:color="0176A0"/>
            </w:tcBorders>
            <w:shd w:val="clear" w:color="000000" w:fill="002C48"/>
            <w:vAlign w:val="center"/>
            <w:hideMark/>
          </w:tcPr>
          <w:p w14:paraId="76E5ED67" w14:textId="77777777" w:rsidR="00DF6CB2" w:rsidRPr="00222260" w:rsidRDefault="00DF6CB2" w:rsidP="00B3714A">
            <w:pPr>
              <w:ind w:firstLineChars="100" w:firstLine="120"/>
              <w:rPr>
                <w:rFonts w:ascii="Arial" w:eastAsia="Times New Roman" w:hAnsi="Arial" w:cs="Arial"/>
                <w:color w:val="FFFFFF"/>
                <w:sz w:val="12"/>
                <w:szCs w:val="12"/>
                <w:lang w:eastAsia="en-IN"/>
              </w:rPr>
            </w:pPr>
            <w:r w:rsidRPr="00222260">
              <w:rPr>
                <w:rFonts w:ascii="Arial" w:eastAsia="Times New Roman" w:hAnsi="Arial" w:cs="Arial"/>
                <w:color w:val="FFFFFF"/>
                <w:sz w:val="12"/>
                <w:szCs w:val="12"/>
                <w:lang w:eastAsia="en-IN"/>
              </w:rPr>
              <w:t>11,933 $/day</w:t>
            </w:r>
            <w:r w:rsidRPr="00222260">
              <w:rPr>
                <w:rFonts w:ascii="Arial" w:eastAsia="Times New Roman" w:hAnsi="Arial" w:cs="Arial"/>
                <w:color w:val="FFFFFF"/>
                <w:sz w:val="10"/>
                <w:szCs w:val="10"/>
                <w:lang w:eastAsia="en-IN"/>
              </w:rPr>
              <w:t>08/11/22</w:t>
            </w:r>
          </w:p>
        </w:tc>
      </w:tr>
      <w:tr w:rsidR="00DF6CB2" w:rsidRPr="00222260" w14:paraId="32782D23" w14:textId="77777777" w:rsidTr="00B3714A">
        <w:trPr>
          <w:trHeight w:val="616"/>
          <w:jc w:val="center"/>
        </w:trPr>
        <w:tc>
          <w:tcPr>
            <w:tcW w:w="1695" w:type="dxa"/>
            <w:tcBorders>
              <w:top w:val="nil"/>
              <w:left w:val="nil"/>
              <w:bottom w:val="single" w:sz="8" w:space="0" w:color="0176A0"/>
              <w:right w:val="single" w:sz="8" w:space="0" w:color="0176A0"/>
            </w:tcBorders>
            <w:shd w:val="clear" w:color="000000" w:fill="002C48"/>
            <w:vAlign w:val="center"/>
            <w:hideMark/>
          </w:tcPr>
          <w:p w14:paraId="17932E9E" w14:textId="77777777" w:rsidR="00DF6CB2" w:rsidRPr="00222260" w:rsidRDefault="00DF6CB2" w:rsidP="00B3714A">
            <w:pPr>
              <w:ind w:firstLineChars="100" w:firstLine="120"/>
              <w:rPr>
                <w:rFonts w:ascii="Arial" w:eastAsia="Times New Roman" w:hAnsi="Arial" w:cs="Arial"/>
                <w:color w:val="FFFFFF"/>
                <w:sz w:val="12"/>
                <w:szCs w:val="12"/>
                <w:lang w:eastAsia="en-IN"/>
              </w:rPr>
            </w:pPr>
            <w:r w:rsidRPr="00222260">
              <w:rPr>
                <w:rFonts w:ascii="Arial" w:eastAsia="Times New Roman" w:hAnsi="Arial" w:cs="Arial"/>
                <w:color w:val="FFFFFF"/>
                <w:sz w:val="12"/>
                <w:szCs w:val="12"/>
                <w:lang w:eastAsia="en-IN"/>
              </w:rPr>
              <w:t>10TC_S+5CAL</w:t>
            </w:r>
          </w:p>
        </w:tc>
        <w:tc>
          <w:tcPr>
            <w:tcW w:w="1108" w:type="dxa"/>
            <w:tcBorders>
              <w:top w:val="nil"/>
              <w:left w:val="nil"/>
              <w:bottom w:val="single" w:sz="8" w:space="0" w:color="0176A0"/>
              <w:right w:val="single" w:sz="8" w:space="0" w:color="0176A0"/>
            </w:tcBorders>
            <w:shd w:val="clear" w:color="000000" w:fill="002C48"/>
            <w:vAlign w:val="center"/>
            <w:hideMark/>
          </w:tcPr>
          <w:p w14:paraId="047030A7" w14:textId="77777777" w:rsidR="00DF6CB2" w:rsidRPr="00222260" w:rsidRDefault="00DF6CB2" w:rsidP="00B3714A">
            <w:pPr>
              <w:ind w:firstLineChars="100" w:firstLine="120"/>
              <w:rPr>
                <w:rFonts w:ascii="Arial" w:eastAsia="Times New Roman" w:hAnsi="Arial" w:cs="Arial"/>
                <w:color w:val="FFFFFF"/>
                <w:sz w:val="12"/>
                <w:szCs w:val="12"/>
                <w:lang w:eastAsia="en-IN"/>
              </w:rPr>
            </w:pPr>
            <w:r w:rsidRPr="00222260">
              <w:rPr>
                <w:rFonts w:ascii="Arial" w:eastAsia="Times New Roman" w:hAnsi="Arial" w:cs="Arial"/>
                <w:color w:val="FFFFFF"/>
                <w:sz w:val="12"/>
                <w:szCs w:val="12"/>
                <w:lang w:eastAsia="en-IN"/>
              </w:rPr>
              <w:t>Cal 27</w:t>
            </w:r>
          </w:p>
        </w:tc>
        <w:tc>
          <w:tcPr>
            <w:tcW w:w="1365" w:type="dxa"/>
            <w:tcBorders>
              <w:top w:val="nil"/>
              <w:left w:val="nil"/>
              <w:bottom w:val="single" w:sz="8" w:space="0" w:color="0176A0"/>
              <w:right w:val="single" w:sz="8" w:space="0" w:color="0176A0"/>
            </w:tcBorders>
            <w:shd w:val="clear" w:color="000000" w:fill="002C48"/>
            <w:vAlign w:val="center"/>
            <w:hideMark/>
          </w:tcPr>
          <w:p w14:paraId="5F07348F" w14:textId="77777777" w:rsidR="00DF6CB2" w:rsidRPr="00222260" w:rsidRDefault="00DF6CB2" w:rsidP="00B3714A">
            <w:pPr>
              <w:ind w:firstLineChars="100" w:firstLine="120"/>
              <w:rPr>
                <w:rFonts w:ascii="Arial" w:eastAsia="Times New Roman" w:hAnsi="Arial" w:cs="Arial"/>
                <w:color w:val="FFFFFF"/>
                <w:sz w:val="12"/>
                <w:szCs w:val="12"/>
                <w:lang w:eastAsia="en-IN"/>
              </w:rPr>
            </w:pPr>
            <w:r w:rsidRPr="00222260">
              <w:rPr>
                <w:rFonts w:ascii="Arial" w:eastAsia="Times New Roman" w:hAnsi="Arial" w:cs="Arial"/>
                <w:color w:val="FFFFFF"/>
                <w:sz w:val="12"/>
                <w:szCs w:val="12"/>
                <w:lang w:eastAsia="en-IN"/>
              </w:rPr>
              <w:t>12,296 $/day</w:t>
            </w:r>
            <w:r w:rsidRPr="00222260">
              <w:rPr>
                <w:rFonts w:ascii="Arial" w:eastAsia="Times New Roman" w:hAnsi="Arial" w:cs="Arial"/>
                <w:color w:val="FFFFFF"/>
                <w:sz w:val="10"/>
                <w:szCs w:val="10"/>
                <w:lang w:eastAsia="en-IN"/>
              </w:rPr>
              <w:t>08/11/22</w:t>
            </w:r>
          </w:p>
        </w:tc>
      </w:tr>
    </w:tbl>
    <w:p w14:paraId="2CF149D8" w14:textId="189E2D0F" w:rsidR="00DF6CB2" w:rsidRDefault="00DF6CB2" w:rsidP="00C659A8">
      <w:pPr>
        <w:jc w:val="center"/>
        <w:rPr>
          <w:lang w:val="en-US"/>
        </w:rPr>
      </w:pPr>
      <w:r>
        <w:rPr>
          <w:lang w:val="en-US"/>
        </w:rPr>
        <w:t>Source: Baltic Exchange Website</w:t>
      </w:r>
    </w:p>
    <w:p w14:paraId="7F978A31" w14:textId="566A49EE" w:rsidR="00DF6CB2" w:rsidRDefault="00DF6CB2" w:rsidP="00DF6CB2">
      <w:pPr>
        <w:rPr>
          <w:lang w:val="en-US"/>
        </w:rPr>
      </w:pPr>
      <w:r>
        <w:rPr>
          <w:lang w:val="en-US"/>
        </w:rPr>
        <w:lastRenderedPageBreak/>
        <w:t xml:space="preserve">This yielded in a </w:t>
      </w:r>
      <w:r w:rsidR="00B6692C">
        <w:rPr>
          <w:lang w:val="en-US"/>
        </w:rPr>
        <w:t>price growth</w:t>
      </w:r>
      <w:r>
        <w:rPr>
          <w:lang w:val="en-US"/>
        </w:rPr>
        <w:t xml:space="preserve"> forecast as given below:</w:t>
      </w:r>
    </w:p>
    <w:p w14:paraId="46A316B7" w14:textId="79AB407F" w:rsidR="00021AF0" w:rsidRDefault="00021AF0" w:rsidP="00DF6CB2">
      <w:pPr>
        <w:rPr>
          <w:lang w:val="en-US"/>
        </w:rPr>
      </w:pPr>
    </w:p>
    <w:p w14:paraId="739D7940" w14:textId="73A4B6D6" w:rsidR="00DF6CB2" w:rsidRPr="00021AF0" w:rsidRDefault="00021AF0" w:rsidP="00021AF0">
      <w:pPr>
        <w:jc w:val="center"/>
        <w:rPr>
          <w:b/>
          <w:bCs/>
          <w:lang w:val="en-US"/>
        </w:rPr>
      </w:pPr>
      <w:r w:rsidRPr="00021AF0">
        <w:rPr>
          <w:b/>
          <w:bCs/>
          <w:lang w:val="en-US"/>
        </w:rPr>
        <w:t>YoY Price Change According to Futures Rates Listed Above</w:t>
      </w:r>
    </w:p>
    <w:tbl>
      <w:tblPr>
        <w:tblW w:w="8065" w:type="dxa"/>
        <w:jc w:val="center"/>
        <w:tblLook w:val="04A0" w:firstRow="1" w:lastRow="0" w:firstColumn="1" w:lastColumn="0" w:noHBand="0" w:noVBand="1"/>
      </w:tblPr>
      <w:tblGrid>
        <w:gridCol w:w="1413"/>
        <w:gridCol w:w="1007"/>
        <w:gridCol w:w="1129"/>
        <w:gridCol w:w="1129"/>
        <w:gridCol w:w="1129"/>
        <w:gridCol w:w="1129"/>
        <w:gridCol w:w="1129"/>
      </w:tblGrid>
      <w:tr w:rsidR="00DF6CB2" w:rsidRPr="00222260" w14:paraId="27480D10" w14:textId="77777777" w:rsidTr="00B3714A">
        <w:trPr>
          <w:trHeight w:val="330"/>
          <w:jc w:val="center"/>
        </w:trPr>
        <w:tc>
          <w:tcPr>
            <w:tcW w:w="1413"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7B418B66" w14:textId="77777777" w:rsidR="00DF6CB2" w:rsidRPr="00222260" w:rsidRDefault="00DF6CB2" w:rsidP="00B3714A">
            <w:pPr>
              <w:rPr>
                <w:rFonts w:ascii="Calibri" w:eastAsia="Times New Roman" w:hAnsi="Calibri" w:cs="Calibri"/>
                <w:b/>
                <w:bCs/>
                <w:color w:val="000000"/>
                <w:lang w:eastAsia="en-IN"/>
              </w:rPr>
            </w:pPr>
            <w:r w:rsidRPr="00222260">
              <w:rPr>
                <w:rFonts w:ascii="Calibri" w:eastAsia="Times New Roman" w:hAnsi="Calibri" w:cs="Calibri"/>
                <w:b/>
                <w:bCs/>
                <w:color w:val="000000"/>
                <w:lang w:eastAsia="en-IN"/>
              </w:rPr>
              <w:t>Year</w:t>
            </w:r>
          </w:p>
        </w:tc>
        <w:tc>
          <w:tcPr>
            <w:tcW w:w="1007" w:type="dxa"/>
            <w:tcBorders>
              <w:top w:val="single" w:sz="4" w:space="0" w:color="auto"/>
              <w:left w:val="nil"/>
              <w:bottom w:val="single" w:sz="4" w:space="0" w:color="auto"/>
              <w:right w:val="single" w:sz="4" w:space="0" w:color="auto"/>
            </w:tcBorders>
            <w:shd w:val="clear" w:color="000000" w:fill="B4C6E7"/>
            <w:noWrap/>
            <w:vAlign w:val="bottom"/>
            <w:hideMark/>
          </w:tcPr>
          <w:p w14:paraId="1C8DD1B3" w14:textId="77777777" w:rsidR="00DF6CB2" w:rsidRPr="00222260" w:rsidRDefault="00DF6CB2" w:rsidP="00B3714A">
            <w:pPr>
              <w:jc w:val="right"/>
              <w:rPr>
                <w:rFonts w:ascii="Calibri" w:eastAsia="Times New Roman" w:hAnsi="Calibri" w:cs="Calibri"/>
                <w:color w:val="000000"/>
                <w:lang w:eastAsia="en-IN"/>
              </w:rPr>
            </w:pPr>
            <w:r w:rsidRPr="00222260">
              <w:rPr>
                <w:rFonts w:ascii="Calibri" w:eastAsia="Times New Roman" w:hAnsi="Calibri" w:cs="Calibri"/>
                <w:color w:val="000000"/>
                <w:lang w:eastAsia="en-IN"/>
              </w:rPr>
              <w:t>2022</w:t>
            </w:r>
          </w:p>
        </w:tc>
        <w:tc>
          <w:tcPr>
            <w:tcW w:w="1129" w:type="dxa"/>
            <w:tcBorders>
              <w:top w:val="single" w:sz="4" w:space="0" w:color="auto"/>
              <w:left w:val="nil"/>
              <w:bottom w:val="single" w:sz="4" w:space="0" w:color="auto"/>
              <w:right w:val="single" w:sz="4" w:space="0" w:color="auto"/>
            </w:tcBorders>
            <w:shd w:val="clear" w:color="000000" w:fill="B4C6E7"/>
            <w:noWrap/>
            <w:vAlign w:val="bottom"/>
            <w:hideMark/>
          </w:tcPr>
          <w:p w14:paraId="07B28D6F" w14:textId="77777777" w:rsidR="00DF6CB2" w:rsidRPr="00222260" w:rsidRDefault="00DF6CB2" w:rsidP="00B3714A">
            <w:pPr>
              <w:jc w:val="right"/>
              <w:rPr>
                <w:rFonts w:ascii="Calibri" w:eastAsia="Times New Roman" w:hAnsi="Calibri" w:cs="Calibri"/>
                <w:color w:val="000000"/>
                <w:lang w:eastAsia="en-IN"/>
              </w:rPr>
            </w:pPr>
            <w:r w:rsidRPr="00222260">
              <w:rPr>
                <w:rFonts w:ascii="Calibri" w:eastAsia="Times New Roman" w:hAnsi="Calibri" w:cs="Calibri"/>
                <w:color w:val="000000"/>
                <w:lang w:eastAsia="en-IN"/>
              </w:rPr>
              <w:t>2023</w:t>
            </w:r>
          </w:p>
        </w:tc>
        <w:tc>
          <w:tcPr>
            <w:tcW w:w="1129" w:type="dxa"/>
            <w:tcBorders>
              <w:top w:val="single" w:sz="4" w:space="0" w:color="auto"/>
              <w:left w:val="nil"/>
              <w:bottom w:val="single" w:sz="4" w:space="0" w:color="auto"/>
              <w:right w:val="single" w:sz="4" w:space="0" w:color="auto"/>
            </w:tcBorders>
            <w:shd w:val="clear" w:color="000000" w:fill="B4C6E7"/>
            <w:noWrap/>
            <w:vAlign w:val="bottom"/>
            <w:hideMark/>
          </w:tcPr>
          <w:p w14:paraId="67E880C9" w14:textId="77777777" w:rsidR="00DF6CB2" w:rsidRPr="00222260" w:rsidRDefault="00DF6CB2" w:rsidP="00B3714A">
            <w:pPr>
              <w:jc w:val="right"/>
              <w:rPr>
                <w:rFonts w:ascii="Calibri" w:eastAsia="Times New Roman" w:hAnsi="Calibri" w:cs="Calibri"/>
                <w:color w:val="000000"/>
                <w:lang w:eastAsia="en-IN"/>
              </w:rPr>
            </w:pPr>
            <w:r w:rsidRPr="00222260">
              <w:rPr>
                <w:rFonts w:ascii="Calibri" w:eastAsia="Times New Roman" w:hAnsi="Calibri" w:cs="Calibri"/>
                <w:color w:val="000000"/>
                <w:lang w:eastAsia="en-IN"/>
              </w:rPr>
              <w:t>2024</w:t>
            </w:r>
          </w:p>
        </w:tc>
        <w:tc>
          <w:tcPr>
            <w:tcW w:w="1129" w:type="dxa"/>
            <w:tcBorders>
              <w:top w:val="single" w:sz="4" w:space="0" w:color="auto"/>
              <w:left w:val="nil"/>
              <w:bottom w:val="single" w:sz="4" w:space="0" w:color="auto"/>
              <w:right w:val="single" w:sz="4" w:space="0" w:color="auto"/>
            </w:tcBorders>
            <w:shd w:val="clear" w:color="000000" w:fill="B4C6E7"/>
            <w:noWrap/>
            <w:vAlign w:val="bottom"/>
            <w:hideMark/>
          </w:tcPr>
          <w:p w14:paraId="5DA19854" w14:textId="77777777" w:rsidR="00DF6CB2" w:rsidRPr="00222260" w:rsidRDefault="00DF6CB2" w:rsidP="00B3714A">
            <w:pPr>
              <w:jc w:val="right"/>
              <w:rPr>
                <w:rFonts w:ascii="Calibri" w:eastAsia="Times New Roman" w:hAnsi="Calibri" w:cs="Calibri"/>
                <w:color w:val="000000"/>
                <w:lang w:eastAsia="en-IN"/>
              </w:rPr>
            </w:pPr>
            <w:r w:rsidRPr="00222260">
              <w:rPr>
                <w:rFonts w:ascii="Calibri" w:eastAsia="Times New Roman" w:hAnsi="Calibri" w:cs="Calibri"/>
                <w:color w:val="000000"/>
                <w:lang w:eastAsia="en-IN"/>
              </w:rPr>
              <w:t>2025</w:t>
            </w:r>
          </w:p>
        </w:tc>
        <w:tc>
          <w:tcPr>
            <w:tcW w:w="1129" w:type="dxa"/>
            <w:tcBorders>
              <w:top w:val="single" w:sz="4" w:space="0" w:color="auto"/>
              <w:left w:val="nil"/>
              <w:bottom w:val="single" w:sz="4" w:space="0" w:color="auto"/>
              <w:right w:val="single" w:sz="4" w:space="0" w:color="auto"/>
            </w:tcBorders>
            <w:shd w:val="clear" w:color="000000" w:fill="B4C6E7"/>
            <w:noWrap/>
            <w:vAlign w:val="bottom"/>
            <w:hideMark/>
          </w:tcPr>
          <w:p w14:paraId="1B5DAB48" w14:textId="77777777" w:rsidR="00DF6CB2" w:rsidRPr="00222260" w:rsidRDefault="00DF6CB2" w:rsidP="00B3714A">
            <w:pPr>
              <w:jc w:val="right"/>
              <w:rPr>
                <w:rFonts w:ascii="Calibri" w:eastAsia="Times New Roman" w:hAnsi="Calibri" w:cs="Calibri"/>
                <w:color w:val="000000"/>
                <w:lang w:eastAsia="en-IN"/>
              </w:rPr>
            </w:pPr>
            <w:r w:rsidRPr="00222260">
              <w:rPr>
                <w:rFonts w:ascii="Calibri" w:eastAsia="Times New Roman" w:hAnsi="Calibri" w:cs="Calibri"/>
                <w:color w:val="000000"/>
                <w:lang w:eastAsia="en-IN"/>
              </w:rPr>
              <w:t>2026</w:t>
            </w:r>
          </w:p>
        </w:tc>
        <w:tc>
          <w:tcPr>
            <w:tcW w:w="1129" w:type="dxa"/>
            <w:tcBorders>
              <w:top w:val="single" w:sz="4" w:space="0" w:color="auto"/>
              <w:left w:val="nil"/>
              <w:bottom w:val="single" w:sz="4" w:space="0" w:color="auto"/>
              <w:right w:val="single" w:sz="4" w:space="0" w:color="auto"/>
            </w:tcBorders>
            <w:shd w:val="clear" w:color="000000" w:fill="B4C6E7"/>
          </w:tcPr>
          <w:p w14:paraId="738097AF" w14:textId="77777777" w:rsidR="00DF6CB2" w:rsidRPr="00222260" w:rsidRDefault="00DF6CB2" w:rsidP="00B3714A">
            <w:pPr>
              <w:jc w:val="right"/>
              <w:rPr>
                <w:rFonts w:ascii="Calibri" w:eastAsia="Times New Roman" w:hAnsi="Calibri" w:cs="Calibri"/>
                <w:color w:val="000000"/>
                <w:lang w:eastAsia="en-IN"/>
              </w:rPr>
            </w:pPr>
            <w:r>
              <w:rPr>
                <w:rFonts w:ascii="Calibri" w:eastAsia="Times New Roman" w:hAnsi="Calibri" w:cs="Calibri"/>
                <w:color w:val="000000"/>
                <w:lang w:eastAsia="en-IN"/>
              </w:rPr>
              <w:t>2027</w:t>
            </w:r>
          </w:p>
        </w:tc>
      </w:tr>
      <w:tr w:rsidR="00DF6CB2" w:rsidRPr="00222260" w14:paraId="78B64879" w14:textId="77777777" w:rsidTr="00B3714A">
        <w:trPr>
          <w:trHeight w:val="330"/>
          <w:jc w:val="center"/>
        </w:trPr>
        <w:tc>
          <w:tcPr>
            <w:tcW w:w="1413" w:type="dxa"/>
            <w:tcBorders>
              <w:top w:val="nil"/>
              <w:left w:val="single" w:sz="4" w:space="0" w:color="auto"/>
              <w:bottom w:val="single" w:sz="4" w:space="0" w:color="auto"/>
              <w:right w:val="single" w:sz="4" w:space="0" w:color="auto"/>
            </w:tcBorders>
            <w:shd w:val="clear" w:color="000000" w:fill="8EA9DB"/>
            <w:noWrap/>
            <w:vAlign w:val="bottom"/>
            <w:hideMark/>
          </w:tcPr>
          <w:p w14:paraId="1229D54A" w14:textId="77777777" w:rsidR="00DF6CB2" w:rsidRPr="00222260" w:rsidRDefault="00DF6CB2" w:rsidP="00B3714A">
            <w:pPr>
              <w:rPr>
                <w:rFonts w:ascii="Calibri" w:eastAsia="Times New Roman" w:hAnsi="Calibri" w:cs="Calibri"/>
                <w:b/>
                <w:bCs/>
                <w:color w:val="000000"/>
                <w:lang w:eastAsia="en-IN"/>
              </w:rPr>
            </w:pPr>
            <w:r w:rsidRPr="00222260">
              <w:rPr>
                <w:rFonts w:ascii="Calibri" w:eastAsia="Times New Roman" w:hAnsi="Calibri" w:cs="Calibri"/>
                <w:b/>
                <w:bCs/>
                <w:color w:val="000000"/>
                <w:lang w:eastAsia="en-IN"/>
              </w:rPr>
              <w:t>YoY Change</w:t>
            </w:r>
          </w:p>
        </w:tc>
        <w:tc>
          <w:tcPr>
            <w:tcW w:w="1007" w:type="dxa"/>
            <w:tcBorders>
              <w:top w:val="nil"/>
              <w:left w:val="nil"/>
              <w:bottom w:val="single" w:sz="4" w:space="0" w:color="auto"/>
              <w:right w:val="single" w:sz="4" w:space="0" w:color="auto"/>
            </w:tcBorders>
            <w:shd w:val="clear" w:color="auto" w:fill="auto"/>
            <w:noWrap/>
            <w:vAlign w:val="bottom"/>
            <w:hideMark/>
          </w:tcPr>
          <w:p w14:paraId="69E82D61" w14:textId="77777777" w:rsidR="00DF6CB2" w:rsidRPr="00222260" w:rsidRDefault="00DF6CB2" w:rsidP="00B3714A">
            <w:pPr>
              <w:rPr>
                <w:rFonts w:ascii="Calibri" w:eastAsia="Times New Roman" w:hAnsi="Calibri" w:cs="Calibri"/>
                <w:color w:val="000000"/>
                <w:lang w:eastAsia="en-IN"/>
              </w:rPr>
            </w:pPr>
            <w:r w:rsidRPr="00222260">
              <w:rPr>
                <w:rFonts w:ascii="Calibri" w:eastAsia="Times New Roman" w:hAnsi="Calibri" w:cs="Calibri"/>
                <w:color w:val="000000"/>
                <w:lang w:eastAsia="en-IN"/>
              </w:rPr>
              <w:t> </w:t>
            </w:r>
          </w:p>
        </w:tc>
        <w:tc>
          <w:tcPr>
            <w:tcW w:w="1129" w:type="dxa"/>
            <w:tcBorders>
              <w:top w:val="nil"/>
              <w:left w:val="nil"/>
              <w:bottom w:val="single" w:sz="4" w:space="0" w:color="auto"/>
              <w:right w:val="single" w:sz="4" w:space="0" w:color="auto"/>
            </w:tcBorders>
            <w:shd w:val="clear" w:color="auto" w:fill="auto"/>
            <w:noWrap/>
            <w:vAlign w:val="bottom"/>
            <w:hideMark/>
          </w:tcPr>
          <w:p w14:paraId="0B21D69B" w14:textId="50B6B71A" w:rsidR="00DF6CB2" w:rsidRPr="00B6692C" w:rsidRDefault="00B6692C" w:rsidP="00B3714A">
            <w:pPr>
              <w:jc w:val="right"/>
              <w:rPr>
                <w:rFonts w:ascii="Calibri" w:eastAsia="Times New Roman" w:hAnsi="Calibri" w:cs="Calibri"/>
                <w:color w:val="FF0000"/>
                <w:lang w:eastAsia="en-IN"/>
              </w:rPr>
            </w:pPr>
            <w:r w:rsidRPr="00B6692C">
              <w:rPr>
                <w:rFonts w:ascii="Calibri" w:eastAsia="Times New Roman" w:hAnsi="Calibri" w:cs="Calibri"/>
                <w:color w:val="FF0000"/>
                <w:lang w:eastAsia="en-IN"/>
              </w:rPr>
              <w:t>-</w:t>
            </w:r>
            <w:r w:rsidR="00DF6CB2" w:rsidRPr="00B6692C">
              <w:rPr>
                <w:rFonts w:ascii="Calibri" w:eastAsia="Times New Roman" w:hAnsi="Calibri" w:cs="Calibri"/>
                <w:color w:val="FF0000"/>
                <w:lang w:eastAsia="en-IN"/>
              </w:rPr>
              <w:t>22</w:t>
            </w:r>
            <w:r w:rsidRPr="00B6692C">
              <w:rPr>
                <w:rFonts w:ascii="Calibri" w:eastAsia="Times New Roman" w:hAnsi="Calibri" w:cs="Calibri"/>
                <w:color w:val="FF0000"/>
                <w:lang w:eastAsia="en-IN"/>
              </w:rPr>
              <w:t>.</w:t>
            </w:r>
            <w:r w:rsidR="00DF6CB2" w:rsidRPr="00B6692C">
              <w:rPr>
                <w:rFonts w:ascii="Calibri" w:eastAsia="Times New Roman" w:hAnsi="Calibri" w:cs="Calibri"/>
                <w:color w:val="FF0000"/>
                <w:lang w:eastAsia="en-IN"/>
              </w:rPr>
              <w:t>94</w:t>
            </w:r>
            <w:r w:rsidRPr="00B6692C">
              <w:rPr>
                <w:rFonts w:ascii="Calibri" w:eastAsia="Times New Roman" w:hAnsi="Calibri" w:cs="Calibri"/>
                <w:color w:val="FF0000"/>
                <w:lang w:eastAsia="en-IN"/>
              </w:rPr>
              <w:t>%</w:t>
            </w:r>
          </w:p>
        </w:tc>
        <w:tc>
          <w:tcPr>
            <w:tcW w:w="1129" w:type="dxa"/>
            <w:tcBorders>
              <w:top w:val="nil"/>
              <w:left w:val="nil"/>
              <w:bottom w:val="single" w:sz="4" w:space="0" w:color="auto"/>
              <w:right w:val="single" w:sz="4" w:space="0" w:color="auto"/>
            </w:tcBorders>
            <w:shd w:val="clear" w:color="auto" w:fill="auto"/>
            <w:noWrap/>
            <w:vAlign w:val="bottom"/>
            <w:hideMark/>
          </w:tcPr>
          <w:p w14:paraId="2C32AF28" w14:textId="2DFFC3B3" w:rsidR="00DF6CB2" w:rsidRPr="00B6692C" w:rsidRDefault="00DF6CB2" w:rsidP="00B3714A">
            <w:pPr>
              <w:jc w:val="right"/>
              <w:rPr>
                <w:rFonts w:ascii="Calibri" w:eastAsia="Times New Roman" w:hAnsi="Calibri" w:cs="Calibri"/>
                <w:color w:val="FF0000"/>
                <w:lang w:eastAsia="en-IN"/>
              </w:rPr>
            </w:pPr>
            <w:r w:rsidRPr="00B6692C">
              <w:rPr>
                <w:rFonts w:ascii="Calibri" w:eastAsia="Times New Roman" w:hAnsi="Calibri" w:cs="Calibri"/>
                <w:color w:val="FF0000"/>
                <w:lang w:eastAsia="en-IN"/>
              </w:rPr>
              <w:t>-3</w:t>
            </w:r>
            <w:r w:rsidR="00B6692C" w:rsidRPr="00B6692C">
              <w:rPr>
                <w:rFonts w:ascii="Calibri" w:eastAsia="Times New Roman" w:hAnsi="Calibri" w:cs="Calibri"/>
                <w:color w:val="FF0000"/>
                <w:lang w:eastAsia="en-IN"/>
              </w:rPr>
              <w:t>.</w:t>
            </w:r>
            <w:r w:rsidRPr="00B6692C">
              <w:rPr>
                <w:rFonts w:ascii="Calibri" w:eastAsia="Times New Roman" w:hAnsi="Calibri" w:cs="Calibri"/>
                <w:color w:val="FF0000"/>
                <w:lang w:eastAsia="en-IN"/>
              </w:rPr>
              <w:t>824</w:t>
            </w:r>
            <w:r w:rsidR="00B6692C" w:rsidRPr="00B6692C">
              <w:rPr>
                <w:rFonts w:ascii="Calibri" w:eastAsia="Times New Roman" w:hAnsi="Calibri" w:cs="Calibri"/>
                <w:color w:val="FF0000"/>
                <w:lang w:eastAsia="en-IN"/>
              </w:rPr>
              <w:t>%</w:t>
            </w:r>
          </w:p>
        </w:tc>
        <w:tc>
          <w:tcPr>
            <w:tcW w:w="1129" w:type="dxa"/>
            <w:tcBorders>
              <w:top w:val="nil"/>
              <w:left w:val="nil"/>
              <w:bottom w:val="single" w:sz="4" w:space="0" w:color="auto"/>
              <w:right w:val="single" w:sz="4" w:space="0" w:color="auto"/>
            </w:tcBorders>
            <w:shd w:val="clear" w:color="auto" w:fill="auto"/>
            <w:noWrap/>
            <w:vAlign w:val="bottom"/>
            <w:hideMark/>
          </w:tcPr>
          <w:p w14:paraId="2F7669DF" w14:textId="3802CF0A" w:rsidR="00DF6CB2" w:rsidRPr="00B6692C" w:rsidRDefault="00DF6CB2" w:rsidP="00B6692C">
            <w:pPr>
              <w:jc w:val="center"/>
              <w:rPr>
                <w:rFonts w:ascii="Calibri" w:eastAsia="Times New Roman" w:hAnsi="Calibri" w:cs="Calibri"/>
                <w:color w:val="00B050"/>
                <w:lang w:eastAsia="en-IN"/>
              </w:rPr>
            </w:pPr>
            <w:r w:rsidRPr="00B6692C">
              <w:rPr>
                <w:rFonts w:ascii="Calibri" w:eastAsia="Times New Roman" w:hAnsi="Calibri" w:cs="Calibri"/>
                <w:color w:val="00B050"/>
                <w:lang w:eastAsia="en-IN"/>
              </w:rPr>
              <w:t>2</w:t>
            </w:r>
            <w:r w:rsidR="00B6692C" w:rsidRPr="00B6692C">
              <w:rPr>
                <w:rFonts w:ascii="Calibri" w:eastAsia="Times New Roman" w:hAnsi="Calibri" w:cs="Calibri"/>
                <w:color w:val="00B050"/>
                <w:lang w:eastAsia="en-IN"/>
              </w:rPr>
              <w:t>.</w:t>
            </w:r>
            <w:r w:rsidRPr="00B6692C">
              <w:rPr>
                <w:rFonts w:ascii="Calibri" w:eastAsia="Times New Roman" w:hAnsi="Calibri" w:cs="Calibri"/>
                <w:color w:val="00B050"/>
                <w:lang w:eastAsia="en-IN"/>
              </w:rPr>
              <w:t>28</w:t>
            </w:r>
            <w:r w:rsidR="00B6692C" w:rsidRPr="00B6692C">
              <w:rPr>
                <w:rFonts w:ascii="Calibri" w:eastAsia="Times New Roman" w:hAnsi="Calibri" w:cs="Calibri"/>
                <w:color w:val="00B050"/>
                <w:lang w:eastAsia="en-IN"/>
              </w:rPr>
              <w:t>5%</w:t>
            </w:r>
          </w:p>
        </w:tc>
        <w:tc>
          <w:tcPr>
            <w:tcW w:w="1129" w:type="dxa"/>
            <w:tcBorders>
              <w:top w:val="nil"/>
              <w:left w:val="nil"/>
              <w:bottom w:val="single" w:sz="4" w:space="0" w:color="auto"/>
              <w:right w:val="single" w:sz="4" w:space="0" w:color="auto"/>
            </w:tcBorders>
            <w:shd w:val="clear" w:color="auto" w:fill="auto"/>
            <w:noWrap/>
            <w:vAlign w:val="bottom"/>
            <w:hideMark/>
          </w:tcPr>
          <w:p w14:paraId="6CC86FC5" w14:textId="37B577A0" w:rsidR="00DF6CB2" w:rsidRPr="00B6692C" w:rsidRDefault="00DF6CB2" w:rsidP="00B6692C">
            <w:pPr>
              <w:jc w:val="center"/>
              <w:rPr>
                <w:rFonts w:ascii="Calibri" w:eastAsia="Times New Roman" w:hAnsi="Calibri" w:cs="Calibri"/>
                <w:color w:val="00B050"/>
                <w:lang w:eastAsia="en-IN"/>
              </w:rPr>
            </w:pPr>
            <w:r w:rsidRPr="00B6692C">
              <w:rPr>
                <w:rFonts w:ascii="Calibri" w:eastAsia="Times New Roman" w:hAnsi="Calibri" w:cs="Calibri"/>
                <w:color w:val="00B050"/>
                <w:lang w:eastAsia="en-IN"/>
              </w:rPr>
              <w:t>4</w:t>
            </w:r>
            <w:r w:rsidR="00B6692C" w:rsidRPr="00B6692C">
              <w:rPr>
                <w:rFonts w:ascii="Calibri" w:eastAsia="Times New Roman" w:hAnsi="Calibri" w:cs="Calibri"/>
                <w:color w:val="00B050"/>
                <w:lang w:eastAsia="en-IN"/>
              </w:rPr>
              <w:t>.</w:t>
            </w:r>
            <w:r w:rsidRPr="00B6692C">
              <w:rPr>
                <w:rFonts w:ascii="Calibri" w:eastAsia="Times New Roman" w:hAnsi="Calibri" w:cs="Calibri"/>
                <w:color w:val="00B050"/>
                <w:lang w:eastAsia="en-IN"/>
              </w:rPr>
              <w:t>942</w:t>
            </w:r>
            <w:r w:rsidR="00B6692C" w:rsidRPr="00B6692C">
              <w:rPr>
                <w:rFonts w:ascii="Calibri" w:eastAsia="Times New Roman" w:hAnsi="Calibri" w:cs="Calibri"/>
                <w:color w:val="00B050"/>
                <w:lang w:eastAsia="en-IN"/>
              </w:rPr>
              <w:t>%</w:t>
            </w:r>
          </w:p>
        </w:tc>
        <w:tc>
          <w:tcPr>
            <w:tcW w:w="1129" w:type="dxa"/>
            <w:tcBorders>
              <w:top w:val="nil"/>
              <w:left w:val="nil"/>
              <w:bottom w:val="single" w:sz="4" w:space="0" w:color="auto"/>
              <w:right w:val="single" w:sz="4" w:space="0" w:color="auto"/>
            </w:tcBorders>
          </w:tcPr>
          <w:p w14:paraId="6074B7A6" w14:textId="5BAB2BA8" w:rsidR="00DF6CB2" w:rsidRPr="00B6692C" w:rsidRDefault="00DF6CB2" w:rsidP="00B6692C">
            <w:pPr>
              <w:jc w:val="center"/>
              <w:rPr>
                <w:rFonts w:ascii="Calibri" w:eastAsia="Times New Roman" w:hAnsi="Calibri" w:cs="Calibri"/>
                <w:color w:val="00B050"/>
                <w:lang w:eastAsia="en-IN"/>
              </w:rPr>
            </w:pPr>
            <w:r w:rsidRPr="00B6692C">
              <w:rPr>
                <w:rFonts w:ascii="Calibri" w:eastAsia="Times New Roman" w:hAnsi="Calibri" w:cs="Calibri"/>
                <w:color w:val="00B050"/>
                <w:lang w:eastAsia="en-IN"/>
              </w:rPr>
              <w:t>3</w:t>
            </w:r>
            <w:r w:rsidR="00B6692C" w:rsidRPr="00B6692C">
              <w:rPr>
                <w:rFonts w:ascii="Calibri" w:eastAsia="Times New Roman" w:hAnsi="Calibri" w:cs="Calibri"/>
                <w:color w:val="00B050"/>
                <w:lang w:eastAsia="en-IN"/>
              </w:rPr>
              <w:t>.</w:t>
            </w:r>
            <w:r w:rsidRPr="00B6692C">
              <w:rPr>
                <w:rFonts w:ascii="Calibri" w:eastAsia="Times New Roman" w:hAnsi="Calibri" w:cs="Calibri"/>
                <w:color w:val="00B050"/>
                <w:lang w:eastAsia="en-IN"/>
              </w:rPr>
              <w:t>042</w:t>
            </w:r>
            <w:r w:rsidR="00B6692C" w:rsidRPr="00B6692C">
              <w:rPr>
                <w:rFonts w:ascii="Calibri" w:eastAsia="Times New Roman" w:hAnsi="Calibri" w:cs="Calibri"/>
                <w:color w:val="00B050"/>
                <w:lang w:eastAsia="en-IN"/>
              </w:rPr>
              <w:t>%</w:t>
            </w:r>
          </w:p>
        </w:tc>
      </w:tr>
    </w:tbl>
    <w:p w14:paraId="04073CC0" w14:textId="77777777" w:rsidR="00DF6CB2" w:rsidRDefault="00DF6CB2" w:rsidP="00DF6CB2">
      <w:pPr>
        <w:jc w:val="center"/>
        <w:rPr>
          <w:lang w:val="en-US"/>
        </w:rPr>
      </w:pPr>
      <w:r>
        <w:rPr>
          <w:lang w:val="en-US"/>
        </w:rPr>
        <w:t>Source: Own Estimates</w:t>
      </w:r>
    </w:p>
    <w:p w14:paraId="24B24FB8" w14:textId="77777777" w:rsidR="00DF6CB2" w:rsidRDefault="00DF6CB2" w:rsidP="00DF6CB2">
      <w:pPr>
        <w:rPr>
          <w:lang w:val="en-US"/>
        </w:rPr>
      </w:pPr>
    </w:p>
    <w:p w14:paraId="67A901A2" w14:textId="77777777" w:rsidR="00DF6CB2" w:rsidRDefault="00DF6CB2" w:rsidP="00DF6CB2">
      <w:pPr>
        <w:rPr>
          <w:lang w:val="en-US"/>
        </w:rPr>
      </w:pPr>
      <w:r>
        <w:rPr>
          <w:lang w:val="en-US"/>
        </w:rPr>
        <w:t xml:space="preserve">The only exception to this is that the company have already engaged in contracts for 36% of 2023 that will result in income of 123.7mn. Therefore, the price change applies only to the remaining 64%. </w:t>
      </w:r>
    </w:p>
    <w:p w14:paraId="59B0A21B" w14:textId="243485B6" w:rsidR="00DF6CB2" w:rsidRDefault="00B6692C" w:rsidP="00DF6CB2">
      <w:pPr>
        <w:rPr>
          <w:lang w:val="en-US"/>
        </w:rPr>
      </w:pPr>
      <w:r>
        <w:rPr>
          <w:noProof/>
        </w:rPr>
        <w:drawing>
          <wp:anchor distT="0" distB="0" distL="114300" distR="114300" simplePos="0" relativeHeight="251683840" behindDoc="1" locked="0" layoutInCell="1" allowOverlap="1" wp14:anchorId="1E380916" wp14:editId="64E9E794">
            <wp:simplePos x="0" y="0"/>
            <wp:positionH relativeFrom="column">
              <wp:posOffset>477520</wp:posOffset>
            </wp:positionH>
            <wp:positionV relativeFrom="paragraph">
              <wp:posOffset>159385</wp:posOffset>
            </wp:positionV>
            <wp:extent cx="4527550" cy="2763982"/>
            <wp:effectExtent l="0" t="0" r="6350" b="17780"/>
            <wp:wrapNone/>
            <wp:docPr id="3" name="Chart 3">
              <a:extLst xmlns:a="http://schemas.openxmlformats.org/drawingml/2006/main">
                <a:ext uri="{FF2B5EF4-FFF2-40B4-BE49-F238E27FC236}">
                  <a16:creationId xmlns:a16="http://schemas.microsoft.com/office/drawing/2014/main" id="{346ACA5A-3627-F276-18DE-11B90348A8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14:paraId="6847C21E" w14:textId="7EE14C2E" w:rsidR="00DF6CB2" w:rsidRDefault="00DF6CB2" w:rsidP="00DF6CB2">
      <w:pPr>
        <w:rPr>
          <w:lang w:val="en-US"/>
        </w:rPr>
      </w:pPr>
    </w:p>
    <w:p w14:paraId="23EEF0B6" w14:textId="77777777" w:rsidR="00DF6CB2" w:rsidRDefault="00DF6CB2" w:rsidP="00DF6CB2">
      <w:pPr>
        <w:rPr>
          <w:lang w:val="en-US"/>
        </w:rPr>
      </w:pPr>
    </w:p>
    <w:p w14:paraId="20953A9B" w14:textId="77777777" w:rsidR="00DF6CB2" w:rsidRDefault="00DF6CB2" w:rsidP="00DF6CB2">
      <w:pPr>
        <w:rPr>
          <w:lang w:val="en-US"/>
        </w:rPr>
      </w:pPr>
    </w:p>
    <w:p w14:paraId="17F60089" w14:textId="77777777" w:rsidR="00DF6CB2" w:rsidRDefault="00DF6CB2" w:rsidP="00DF6CB2">
      <w:pPr>
        <w:rPr>
          <w:lang w:val="en-US"/>
        </w:rPr>
      </w:pPr>
    </w:p>
    <w:p w14:paraId="537F5266" w14:textId="77777777" w:rsidR="00DF6CB2" w:rsidRDefault="00DF6CB2" w:rsidP="00DF6CB2">
      <w:pPr>
        <w:rPr>
          <w:lang w:val="en-US"/>
        </w:rPr>
      </w:pPr>
    </w:p>
    <w:p w14:paraId="5688E999" w14:textId="77777777" w:rsidR="00DF6CB2" w:rsidRDefault="00DF6CB2" w:rsidP="00DF6CB2">
      <w:pPr>
        <w:rPr>
          <w:lang w:val="en-US"/>
        </w:rPr>
      </w:pPr>
    </w:p>
    <w:p w14:paraId="5D76648D" w14:textId="77777777" w:rsidR="00DF6CB2" w:rsidRDefault="00DF6CB2" w:rsidP="00DF6CB2">
      <w:pPr>
        <w:rPr>
          <w:lang w:val="en-US"/>
        </w:rPr>
      </w:pPr>
    </w:p>
    <w:p w14:paraId="21FC6A7D" w14:textId="77777777" w:rsidR="00DF6CB2" w:rsidRDefault="00DF6CB2" w:rsidP="00DF6CB2">
      <w:pPr>
        <w:rPr>
          <w:lang w:val="en-US"/>
        </w:rPr>
      </w:pPr>
    </w:p>
    <w:p w14:paraId="6B8DFB26" w14:textId="77777777" w:rsidR="00DF6CB2" w:rsidRDefault="00DF6CB2" w:rsidP="00DF6CB2">
      <w:pPr>
        <w:rPr>
          <w:lang w:val="en-US"/>
        </w:rPr>
      </w:pPr>
    </w:p>
    <w:p w14:paraId="40E8D46B" w14:textId="77777777" w:rsidR="00DF6CB2" w:rsidRDefault="00DF6CB2" w:rsidP="00DF6CB2">
      <w:pPr>
        <w:rPr>
          <w:lang w:val="en-US"/>
        </w:rPr>
      </w:pPr>
    </w:p>
    <w:p w14:paraId="3F29F133" w14:textId="77777777" w:rsidR="00DF6CB2" w:rsidRDefault="00DF6CB2" w:rsidP="00DF6CB2">
      <w:pPr>
        <w:rPr>
          <w:lang w:val="en-US"/>
        </w:rPr>
      </w:pPr>
    </w:p>
    <w:p w14:paraId="471713AF" w14:textId="77777777" w:rsidR="00DF6CB2" w:rsidRDefault="00DF6CB2" w:rsidP="00DF6CB2">
      <w:pPr>
        <w:rPr>
          <w:lang w:val="en-US"/>
        </w:rPr>
      </w:pPr>
    </w:p>
    <w:p w14:paraId="5B5AF877" w14:textId="77777777" w:rsidR="00DF6CB2" w:rsidRDefault="00DF6CB2" w:rsidP="00DF6CB2">
      <w:pPr>
        <w:rPr>
          <w:lang w:val="en-US"/>
        </w:rPr>
      </w:pPr>
    </w:p>
    <w:p w14:paraId="4BFAC98B" w14:textId="77777777" w:rsidR="00DF6CB2" w:rsidRDefault="00DF6CB2" w:rsidP="00DF6CB2">
      <w:pPr>
        <w:rPr>
          <w:lang w:val="en-US"/>
        </w:rPr>
      </w:pPr>
    </w:p>
    <w:p w14:paraId="164585CC" w14:textId="77777777" w:rsidR="00DF6CB2" w:rsidRDefault="00DF6CB2" w:rsidP="00DF6CB2">
      <w:pPr>
        <w:rPr>
          <w:lang w:val="en-US"/>
        </w:rPr>
      </w:pPr>
    </w:p>
    <w:p w14:paraId="042A9551" w14:textId="77777777" w:rsidR="00DF6CB2" w:rsidRDefault="00DF6CB2" w:rsidP="00DF6CB2">
      <w:pPr>
        <w:rPr>
          <w:lang w:val="en-US"/>
        </w:rPr>
      </w:pPr>
      <w:r>
        <w:rPr>
          <w:lang w:val="en-US"/>
        </w:rPr>
        <w:t xml:space="preserve">This YoY growth reflects price changes in the revenue line item in the near future. However, one must account for how the fleet size will change YoY. </w:t>
      </w:r>
    </w:p>
    <w:p w14:paraId="42FA4382" w14:textId="7C886C12" w:rsidR="00D61AD0" w:rsidRDefault="00D61AD0" w:rsidP="00D61AD0">
      <w:pPr>
        <w:rPr>
          <w:lang w:val="en-US"/>
        </w:rPr>
      </w:pPr>
    </w:p>
    <w:p w14:paraId="553BF6B3" w14:textId="596F7722" w:rsidR="00DF6CB2" w:rsidRPr="004A12C3" w:rsidRDefault="00DF6CB2" w:rsidP="00DF6CB2">
      <w:pPr>
        <w:rPr>
          <w:rFonts w:eastAsiaTheme="minorEastAsia"/>
        </w:rPr>
      </w:pPr>
      <w:r>
        <w:rPr>
          <w:rFonts w:eastAsiaTheme="minorEastAsia"/>
        </w:rPr>
        <w:t xml:space="preserve">Therefore, this allows for an increase in ‘operating days’ of the company. This is how many ship days a company has available to ‘charter out’. Historical fleet utilization rates show how increased ships can be assumed to increase volume. The industry adjusts price to absorb changes in the market and there is not fear that increased capacity will result in ships being left idle. </w:t>
      </w:r>
      <w:r w:rsidR="00B6692C">
        <w:rPr>
          <w:rFonts w:eastAsiaTheme="minorEastAsia"/>
        </w:rPr>
        <w:t xml:space="preserve">Using historical utilization rates we can assume that the new acquisitions will have similar utilization rates. </w:t>
      </w:r>
    </w:p>
    <w:p w14:paraId="78741E45" w14:textId="4784260B" w:rsidR="00DF6CB2" w:rsidRPr="004A12C3" w:rsidRDefault="00C659A8" w:rsidP="00DF6CB2">
      <w:pPr>
        <w:rPr>
          <w:rFonts w:eastAsiaTheme="minorEastAsia"/>
        </w:rPr>
      </w:pPr>
      <w:r>
        <w:rPr>
          <w:noProof/>
        </w:rPr>
        <w:drawing>
          <wp:anchor distT="0" distB="0" distL="114300" distR="114300" simplePos="0" relativeHeight="251685888" behindDoc="1" locked="0" layoutInCell="1" allowOverlap="1" wp14:anchorId="60639B90" wp14:editId="1C4D209E">
            <wp:simplePos x="0" y="0"/>
            <wp:positionH relativeFrom="column">
              <wp:posOffset>736678</wp:posOffset>
            </wp:positionH>
            <wp:positionV relativeFrom="paragraph">
              <wp:posOffset>47625</wp:posOffset>
            </wp:positionV>
            <wp:extent cx="4172986" cy="2263606"/>
            <wp:effectExtent l="0" t="0" r="18415" b="10160"/>
            <wp:wrapNone/>
            <wp:docPr id="4" name="Chart 4">
              <a:extLst xmlns:a="http://schemas.openxmlformats.org/drawingml/2006/main">
                <a:ext uri="{FF2B5EF4-FFF2-40B4-BE49-F238E27FC236}">
                  <a16:creationId xmlns:a16="http://schemas.microsoft.com/office/drawing/2014/main" id="{3ABF2A98-1870-5D1B-BA2F-A5B805D3E5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14:paraId="19BA36D4" w14:textId="714A3946" w:rsidR="00DF6CB2" w:rsidRDefault="00DF6CB2" w:rsidP="00DF6CB2">
      <w:pPr>
        <w:rPr>
          <w:rFonts w:eastAsiaTheme="minorEastAsia"/>
        </w:rPr>
      </w:pPr>
    </w:p>
    <w:p w14:paraId="17D61CF0" w14:textId="77777777" w:rsidR="00DF6CB2" w:rsidRDefault="00DF6CB2" w:rsidP="00DF6CB2">
      <w:pPr>
        <w:tabs>
          <w:tab w:val="left" w:pos="6562"/>
        </w:tabs>
        <w:rPr>
          <w:rFonts w:eastAsiaTheme="minorEastAsia"/>
        </w:rPr>
      </w:pPr>
    </w:p>
    <w:p w14:paraId="0C20E654" w14:textId="77777777" w:rsidR="00DF6CB2" w:rsidRDefault="00DF6CB2" w:rsidP="00DF6CB2">
      <w:pPr>
        <w:tabs>
          <w:tab w:val="left" w:pos="6562"/>
        </w:tabs>
        <w:rPr>
          <w:rFonts w:eastAsiaTheme="minorEastAsia"/>
        </w:rPr>
      </w:pPr>
    </w:p>
    <w:p w14:paraId="6530CE66" w14:textId="77777777" w:rsidR="00DF6CB2" w:rsidRDefault="00DF6CB2" w:rsidP="00DF6CB2">
      <w:pPr>
        <w:tabs>
          <w:tab w:val="left" w:pos="6562"/>
        </w:tabs>
        <w:rPr>
          <w:rFonts w:eastAsiaTheme="minorEastAsia"/>
        </w:rPr>
      </w:pPr>
    </w:p>
    <w:p w14:paraId="1C6B0D80" w14:textId="77777777" w:rsidR="00DF6CB2" w:rsidRDefault="00DF6CB2" w:rsidP="00DF6CB2">
      <w:pPr>
        <w:tabs>
          <w:tab w:val="left" w:pos="6562"/>
        </w:tabs>
        <w:rPr>
          <w:rFonts w:eastAsiaTheme="minorEastAsia"/>
        </w:rPr>
      </w:pPr>
    </w:p>
    <w:p w14:paraId="51F1B74C" w14:textId="77777777" w:rsidR="00DF6CB2" w:rsidRDefault="00DF6CB2" w:rsidP="00DF6CB2">
      <w:pPr>
        <w:tabs>
          <w:tab w:val="left" w:pos="6562"/>
        </w:tabs>
        <w:rPr>
          <w:rFonts w:eastAsiaTheme="minorEastAsia"/>
        </w:rPr>
      </w:pPr>
    </w:p>
    <w:p w14:paraId="4111C99B" w14:textId="77777777" w:rsidR="00DF6CB2" w:rsidRDefault="00DF6CB2" w:rsidP="00DF6CB2">
      <w:pPr>
        <w:tabs>
          <w:tab w:val="left" w:pos="6562"/>
        </w:tabs>
        <w:rPr>
          <w:rFonts w:eastAsiaTheme="minorEastAsia"/>
        </w:rPr>
      </w:pPr>
    </w:p>
    <w:p w14:paraId="627027D5" w14:textId="77777777" w:rsidR="00DF6CB2" w:rsidRDefault="00DF6CB2" w:rsidP="00DF6CB2">
      <w:pPr>
        <w:tabs>
          <w:tab w:val="left" w:pos="6562"/>
        </w:tabs>
        <w:rPr>
          <w:rFonts w:eastAsiaTheme="minorEastAsia"/>
        </w:rPr>
      </w:pPr>
    </w:p>
    <w:p w14:paraId="03B4FF22" w14:textId="77777777" w:rsidR="00DF6CB2" w:rsidRDefault="00DF6CB2" w:rsidP="00DF6CB2">
      <w:pPr>
        <w:tabs>
          <w:tab w:val="left" w:pos="6562"/>
        </w:tabs>
        <w:rPr>
          <w:rFonts w:eastAsiaTheme="minorEastAsia"/>
        </w:rPr>
      </w:pPr>
    </w:p>
    <w:p w14:paraId="51AC6C47" w14:textId="77777777" w:rsidR="00DF6CB2" w:rsidRDefault="00DF6CB2" w:rsidP="00DF6CB2">
      <w:pPr>
        <w:tabs>
          <w:tab w:val="left" w:pos="6562"/>
        </w:tabs>
        <w:rPr>
          <w:rFonts w:eastAsiaTheme="minorEastAsia"/>
        </w:rPr>
      </w:pPr>
    </w:p>
    <w:p w14:paraId="72DC050B" w14:textId="77777777" w:rsidR="00DF6CB2" w:rsidRDefault="00DF6CB2" w:rsidP="00DF6CB2">
      <w:pPr>
        <w:tabs>
          <w:tab w:val="left" w:pos="6562"/>
        </w:tabs>
        <w:rPr>
          <w:rFonts w:eastAsiaTheme="minorEastAsia"/>
        </w:rPr>
      </w:pPr>
    </w:p>
    <w:p w14:paraId="61D60545" w14:textId="77777777" w:rsidR="00FB1BA6" w:rsidRDefault="00FB1BA6" w:rsidP="00FB1BA6">
      <w:pPr>
        <w:pStyle w:val="Heading2"/>
        <w:rPr>
          <w:lang w:val="en-US"/>
        </w:rPr>
      </w:pPr>
      <w:bookmarkStart w:id="4" w:name="_Toc121096861"/>
      <w:r>
        <w:rPr>
          <w:lang w:val="en-US"/>
        </w:rPr>
        <w:lastRenderedPageBreak/>
        <w:t>Capital Expenditure</w:t>
      </w:r>
      <w:bookmarkEnd w:id="4"/>
      <w:r>
        <w:rPr>
          <w:lang w:val="en-US"/>
        </w:rPr>
        <w:t xml:space="preserve"> </w:t>
      </w:r>
    </w:p>
    <w:p w14:paraId="6A95038D" w14:textId="77777777" w:rsidR="00FB1BA6" w:rsidRDefault="00FB1BA6" w:rsidP="00FB1BA6">
      <w:pPr>
        <w:rPr>
          <w:lang w:val="en-US"/>
        </w:rPr>
      </w:pPr>
    </w:p>
    <w:p w14:paraId="71B6301B" w14:textId="77777777" w:rsidR="00FB1BA6" w:rsidRDefault="00FB1BA6" w:rsidP="00FB1BA6">
      <w:pPr>
        <w:rPr>
          <w:lang w:val="en-US"/>
        </w:rPr>
      </w:pPr>
      <w:r>
        <w:rPr>
          <w:lang w:val="en-US"/>
        </w:rPr>
        <w:t xml:space="preserve">The industry is aiming to invest in fleets whilst charter prices are favorable. Despite diminishing prices in coming years, rates remain above breakeven. This is in stark contrast to the pre-covid era where companies struggled with rates and resorted to disposing of fleet to cover high leverage costs. </w:t>
      </w:r>
    </w:p>
    <w:p w14:paraId="75606D9F" w14:textId="77777777" w:rsidR="00FB1BA6" w:rsidRDefault="00FB1BA6" w:rsidP="00FB1BA6">
      <w:pPr>
        <w:rPr>
          <w:lang w:val="en-US"/>
        </w:rPr>
      </w:pPr>
    </w:p>
    <w:p w14:paraId="0F5A69AC" w14:textId="00CC2634" w:rsidR="00FB1BA6" w:rsidRDefault="00FB1BA6" w:rsidP="00FB1BA6">
      <w:pPr>
        <w:rPr>
          <w:lang w:val="en-US"/>
        </w:rPr>
      </w:pPr>
      <w:r>
        <w:rPr>
          <w:lang w:val="en-US"/>
        </w:rPr>
        <w:t xml:space="preserve">The dynamic within the industry has changed where competitors have used the cashflow windfall resulting from covid to re-invest in fleet sizes and repay debt. Given the tapering off in rates, we believe most investment in fleet will be in sooner years before the CAPEX plan tails towards its perpetual growth rate. </w:t>
      </w:r>
      <w:r w:rsidR="00B6692C">
        <w:rPr>
          <w:lang w:val="en-US"/>
        </w:rPr>
        <w:t xml:space="preserve">Similarly, as the time horizon increases, financing of such fleet will be weighted more towards debt as less free cash will be available due to more modest charter rates. </w:t>
      </w:r>
    </w:p>
    <w:p w14:paraId="1A94972C" w14:textId="77777777" w:rsidR="00FB1BA6" w:rsidRDefault="00FB1BA6" w:rsidP="00FB1BA6">
      <w:pPr>
        <w:rPr>
          <w:lang w:val="en-US"/>
        </w:rPr>
      </w:pPr>
    </w:p>
    <w:p w14:paraId="5178227D" w14:textId="77777777" w:rsidR="00FB1BA6" w:rsidRDefault="00FB1BA6" w:rsidP="00FB1BA6">
      <w:pPr>
        <w:rPr>
          <w:lang w:val="en-US"/>
        </w:rPr>
      </w:pPr>
      <w:r>
        <w:rPr>
          <w:lang w:val="en-US"/>
        </w:rPr>
        <w:t>In perpetuity, the fleet size will grow at a slower rate since the company will no longer be in its growth stage. To estimate the same, we have estimated the fleet growth rate of the industry leader, AP Moller Maersk, for a period of 2014-19, which was 1.88%. Given that the current price of a new ship is $36.67 million, we have estimated the terminal value as:</w:t>
      </w:r>
    </w:p>
    <w:p w14:paraId="08CFF566" w14:textId="77777777" w:rsidR="00FB1BA6" w:rsidRDefault="00FB1BA6" w:rsidP="00FB1BA6">
      <w:pPr>
        <w:rPr>
          <w:lang w:val="en-US"/>
        </w:rPr>
      </w:pPr>
    </w:p>
    <w:p w14:paraId="2D05F152" w14:textId="77777777" w:rsidR="00FB1BA6" w:rsidRPr="00B6692C" w:rsidRDefault="00FB1BA6" w:rsidP="00FB1BA6">
      <w:pPr>
        <w:rPr>
          <w:b/>
          <w:bCs/>
          <w:lang w:val="en-US"/>
        </w:rPr>
      </w:pPr>
    </w:p>
    <w:p w14:paraId="58079128" w14:textId="1043E145" w:rsidR="00FB1BA6" w:rsidRPr="00B6692C" w:rsidRDefault="00B6692C" w:rsidP="00FB1BA6">
      <w:pPr>
        <w:rPr>
          <w:rFonts w:eastAsiaTheme="minorEastAsia"/>
          <w:b/>
          <w:bCs/>
          <w:lang w:val="en-US"/>
        </w:rPr>
      </w:pPr>
      <m:oMathPara>
        <m:oMath>
          <m:r>
            <m:rPr>
              <m:sty m:val="bi"/>
            </m:rPr>
            <w:rPr>
              <w:rFonts w:ascii="Cambria Math" w:hAnsi="Cambria Math"/>
              <w:lang w:val="en-US"/>
            </w:rPr>
            <m:t>1.88%×2026</m:t>
          </m:r>
          <m:r>
            <m:rPr>
              <m:sty m:val="bi"/>
            </m:rPr>
            <w:rPr>
              <w:rFonts w:ascii="Cambria Math" w:hAnsi="Cambria Math"/>
              <w:lang w:val="en-US"/>
            </w:rPr>
            <m:t>E Fleet Size×Ship Acquisition Cost</m:t>
          </m:r>
        </m:oMath>
      </m:oMathPara>
    </w:p>
    <w:p w14:paraId="3558987A" w14:textId="5613DFDF" w:rsidR="00FB1BA6" w:rsidRPr="00B6692C" w:rsidRDefault="00B6692C" w:rsidP="00FB1BA6">
      <w:pPr>
        <w:rPr>
          <w:rFonts w:eastAsiaTheme="minorEastAsia"/>
          <w:b/>
          <w:bCs/>
          <w:lang w:val="en-US"/>
        </w:rPr>
      </w:pPr>
      <m:oMathPara>
        <m:oMath>
          <m:r>
            <m:rPr>
              <m:sty m:val="bi"/>
            </m:rPr>
            <w:rPr>
              <w:rFonts w:ascii="Cambria Math" w:hAnsi="Cambria Math"/>
              <w:lang w:val="en-US"/>
            </w:rPr>
            <m:t>+CAPEX when no ship expenditure is assumed</m:t>
          </m:r>
        </m:oMath>
      </m:oMathPara>
    </w:p>
    <w:p w14:paraId="22DE5E35" w14:textId="06FD364C" w:rsidR="00FB1BA6" w:rsidRDefault="00B6692C" w:rsidP="00FB1BA6">
      <w:pPr>
        <w:rPr>
          <w:lang w:val="en-US"/>
        </w:rPr>
      </w:pPr>
      <w:r>
        <w:rPr>
          <w:noProof/>
        </w:rPr>
        <w:drawing>
          <wp:anchor distT="0" distB="0" distL="114300" distR="114300" simplePos="0" relativeHeight="251695104" behindDoc="1" locked="0" layoutInCell="1" allowOverlap="1" wp14:anchorId="15AF9FF2" wp14:editId="2A19B6A3">
            <wp:simplePos x="0" y="0"/>
            <wp:positionH relativeFrom="column">
              <wp:posOffset>757555</wp:posOffset>
            </wp:positionH>
            <wp:positionV relativeFrom="paragraph">
              <wp:posOffset>101725</wp:posOffset>
            </wp:positionV>
            <wp:extent cx="4245032" cy="2459182"/>
            <wp:effectExtent l="0" t="0" r="9525" b="17780"/>
            <wp:wrapNone/>
            <wp:docPr id="31" name="Chart 31">
              <a:extLst xmlns:a="http://schemas.openxmlformats.org/drawingml/2006/main">
                <a:ext uri="{FF2B5EF4-FFF2-40B4-BE49-F238E27FC236}">
                  <a16:creationId xmlns:a16="http://schemas.microsoft.com/office/drawing/2014/main" id="{FD0C01FC-F729-DCC8-4813-37F36F17A8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p w14:paraId="47D0E195" w14:textId="60565687" w:rsidR="00FB1BA6" w:rsidRDefault="00FB1BA6" w:rsidP="00FB1BA6">
      <w:pPr>
        <w:rPr>
          <w:lang w:val="en-US"/>
        </w:rPr>
      </w:pPr>
    </w:p>
    <w:p w14:paraId="336AF22A" w14:textId="68379184" w:rsidR="00FB1BA6" w:rsidRDefault="00FB1BA6" w:rsidP="00FB1BA6">
      <w:pPr>
        <w:rPr>
          <w:lang w:val="en-US"/>
        </w:rPr>
      </w:pPr>
    </w:p>
    <w:p w14:paraId="28D8F15A" w14:textId="77777777" w:rsidR="00FB1BA6" w:rsidRDefault="00FB1BA6" w:rsidP="00FB1BA6">
      <w:pPr>
        <w:rPr>
          <w:lang w:val="en-US"/>
        </w:rPr>
      </w:pPr>
    </w:p>
    <w:p w14:paraId="25AFD719" w14:textId="6306627D" w:rsidR="00FB1BA6" w:rsidRDefault="00FB1BA6" w:rsidP="00FB1BA6">
      <w:pPr>
        <w:rPr>
          <w:lang w:val="en-US"/>
        </w:rPr>
      </w:pPr>
    </w:p>
    <w:p w14:paraId="65DBA5E8" w14:textId="77777777" w:rsidR="00FB1BA6" w:rsidRDefault="00FB1BA6" w:rsidP="00FB1BA6">
      <w:pPr>
        <w:rPr>
          <w:lang w:val="en-US"/>
        </w:rPr>
      </w:pPr>
    </w:p>
    <w:p w14:paraId="3678AE97" w14:textId="77777777" w:rsidR="00FB1BA6" w:rsidRDefault="00FB1BA6" w:rsidP="00FB1BA6">
      <w:pPr>
        <w:rPr>
          <w:lang w:val="en-US"/>
        </w:rPr>
      </w:pPr>
    </w:p>
    <w:p w14:paraId="4ECEB39E" w14:textId="77777777" w:rsidR="00FB1BA6" w:rsidRPr="00662F8F" w:rsidRDefault="00FB1BA6" w:rsidP="00FB1BA6">
      <w:pPr>
        <w:rPr>
          <w:lang w:val="en-US"/>
        </w:rPr>
      </w:pPr>
    </w:p>
    <w:p w14:paraId="6ACD894A" w14:textId="77777777" w:rsidR="00FB1BA6" w:rsidRDefault="00FB1BA6" w:rsidP="00FB1BA6">
      <w:pPr>
        <w:rPr>
          <w:rFonts w:eastAsiaTheme="minorEastAsia"/>
        </w:rPr>
      </w:pPr>
    </w:p>
    <w:p w14:paraId="6A18D45E" w14:textId="77777777" w:rsidR="00FB1BA6" w:rsidRDefault="00FB1BA6" w:rsidP="00FB1BA6">
      <w:pPr>
        <w:rPr>
          <w:rFonts w:eastAsiaTheme="minorEastAsia"/>
        </w:rPr>
      </w:pPr>
    </w:p>
    <w:p w14:paraId="5597F6FC" w14:textId="77777777" w:rsidR="00FB1BA6" w:rsidRDefault="00FB1BA6" w:rsidP="00FB1BA6">
      <w:pPr>
        <w:rPr>
          <w:rFonts w:eastAsiaTheme="minorEastAsia"/>
        </w:rPr>
      </w:pPr>
    </w:p>
    <w:p w14:paraId="41EAFD69" w14:textId="77777777" w:rsidR="00FB1BA6" w:rsidRDefault="00FB1BA6" w:rsidP="00FB1BA6">
      <w:pPr>
        <w:rPr>
          <w:rFonts w:eastAsiaTheme="minorEastAsia"/>
        </w:rPr>
      </w:pPr>
    </w:p>
    <w:p w14:paraId="6F087324" w14:textId="77777777" w:rsidR="00FB1BA6" w:rsidRDefault="00FB1BA6" w:rsidP="00FB1BA6">
      <w:pPr>
        <w:rPr>
          <w:rFonts w:eastAsiaTheme="minorEastAsia"/>
        </w:rPr>
      </w:pPr>
    </w:p>
    <w:p w14:paraId="32362FA7" w14:textId="77777777" w:rsidR="00FB1BA6" w:rsidRPr="004A12C3" w:rsidRDefault="00FB1BA6" w:rsidP="00FB1BA6">
      <w:pPr>
        <w:rPr>
          <w:rFonts w:eastAsiaTheme="minorEastAsia"/>
        </w:rPr>
      </w:pPr>
    </w:p>
    <w:p w14:paraId="63CEF202" w14:textId="77777777" w:rsidR="00FB1BA6" w:rsidRDefault="00FB1BA6" w:rsidP="00FB1BA6">
      <w:pPr>
        <w:rPr>
          <w:rFonts w:eastAsiaTheme="minorEastAsia"/>
        </w:rPr>
      </w:pPr>
    </w:p>
    <w:p w14:paraId="01A54917" w14:textId="77777777" w:rsidR="00FB1BA6" w:rsidRDefault="00FB1BA6" w:rsidP="00FB1BA6">
      <w:pPr>
        <w:rPr>
          <w:rFonts w:eastAsiaTheme="minorEastAsia"/>
        </w:rPr>
      </w:pPr>
    </w:p>
    <w:p w14:paraId="1B25A23B" w14:textId="59015AD0" w:rsidR="00FB1BA6" w:rsidRDefault="00FB1BA6" w:rsidP="00FB1BA6">
      <w:pPr>
        <w:rPr>
          <w:rFonts w:eastAsiaTheme="minorEastAsia"/>
        </w:rPr>
      </w:pPr>
      <w:r>
        <w:rPr>
          <w:rFonts w:eastAsiaTheme="minorEastAsia"/>
        </w:rPr>
        <w:t xml:space="preserve">The company acquired 9 ships in 2022 with 2 disposals. This is despite orderbooks and newbuilds being at historical lows. Their spend was 330mn for 9 ships which averages 36.67mn per ship. Compared to Eagle Bulk Shipping’s acquisition </w:t>
      </w:r>
      <w:r w:rsidR="00B6692C">
        <w:rPr>
          <w:rFonts w:eastAsiaTheme="minorEastAsia"/>
        </w:rPr>
        <w:t xml:space="preserve">of similar ship </w:t>
      </w:r>
      <w:r>
        <w:rPr>
          <w:rFonts w:eastAsiaTheme="minorEastAsia"/>
        </w:rPr>
        <w:t xml:space="preserve">at a price of </w:t>
      </w:r>
      <w:r w:rsidR="00B6692C">
        <w:rPr>
          <w:rFonts w:eastAsiaTheme="minorEastAsia"/>
        </w:rPr>
        <w:t>$</w:t>
      </w:r>
      <w:r>
        <w:rPr>
          <w:rFonts w:eastAsiaTheme="minorEastAsia"/>
        </w:rPr>
        <w:t xml:space="preserve">27.5mn for same type of ship, Diana Shipping Corp have overpaid. This suggests they are willing to pay a surplus to the market in exchange for ready transfer of ownership. Historically, they have only invested in 2 newbuilds. It is for this reason we have not based </w:t>
      </w:r>
      <w:r w:rsidR="006C6A7E">
        <w:rPr>
          <w:rFonts w:eastAsiaTheme="minorEastAsia"/>
        </w:rPr>
        <w:t>fleet growth</w:t>
      </w:r>
      <w:r>
        <w:rPr>
          <w:rFonts w:eastAsiaTheme="minorEastAsia"/>
        </w:rPr>
        <w:t xml:space="preserve"> on ship orderbooks</w:t>
      </w:r>
      <w:r w:rsidR="006C6A7E">
        <w:rPr>
          <w:rFonts w:eastAsiaTheme="minorEastAsia"/>
        </w:rPr>
        <w:t>. We believe Diana will continue to pay premium compared to those waiting of shipbuilding in exchange for increasing fleet size while rates remain higher than normal.</w:t>
      </w:r>
    </w:p>
    <w:p w14:paraId="0DCD7852" w14:textId="77777777" w:rsidR="00FB1BA6" w:rsidRDefault="00FB1BA6" w:rsidP="00FB1BA6">
      <w:pPr>
        <w:rPr>
          <w:rFonts w:eastAsiaTheme="minorEastAsia"/>
        </w:rPr>
      </w:pPr>
    </w:p>
    <w:tbl>
      <w:tblPr>
        <w:tblW w:w="7376"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5"/>
        <w:gridCol w:w="1134"/>
        <w:gridCol w:w="1134"/>
        <w:gridCol w:w="993"/>
        <w:gridCol w:w="1564"/>
      </w:tblGrid>
      <w:tr w:rsidR="00FB1BA6" w:rsidRPr="005808D4" w14:paraId="167135C6" w14:textId="77777777" w:rsidTr="00521982">
        <w:trPr>
          <w:trHeight w:val="300"/>
        </w:trPr>
        <w:tc>
          <w:tcPr>
            <w:tcW w:w="1276" w:type="dxa"/>
            <w:shd w:val="clear" w:color="auto" w:fill="002060"/>
            <w:noWrap/>
            <w:vAlign w:val="bottom"/>
            <w:hideMark/>
          </w:tcPr>
          <w:p w14:paraId="1E8D8ED3" w14:textId="77777777" w:rsidR="00FB1BA6" w:rsidRPr="005808D4" w:rsidRDefault="00FB1BA6" w:rsidP="00521982">
            <w:pPr>
              <w:jc w:val="right"/>
              <w:rPr>
                <w:rFonts w:ascii="Calibri" w:eastAsia="Times New Roman" w:hAnsi="Calibri" w:cs="Calibri"/>
                <w:b/>
                <w:bCs/>
                <w:color w:val="FFFFFF"/>
                <w:sz w:val="22"/>
                <w:szCs w:val="22"/>
                <w:lang w:eastAsia="en-GB"/>
              </w:rPr>
            </w:pPr>
            <w:r w:rsidRPr="005808D4">
              <w:rPr>
                <w:rFonts w:ascii="Calibri" w:eastAsia="Times New Roman" w:hAnsi="Calibri" w:cs="Calibri"/>
                <w:b/>
                <w:bCs/>
                <w:color w:val="FFFFFF"/>
                <w:sz w:val="22"/>
                <w:szCs w:val="22"/>
                <w:lang w:eastAsia="en-GB"/>
              </w:rPr>
              <w:t>2023</w:t>
            </w:r>
          </w:p>
        </w:tc>
        <w:tc>
          <w:tcPr>
            <w:tcW w:w="1275" w:type="dxa"/>
            <w:shd w:val="clear" w:color="auto" w:fill="002060"/>
            <w:noWrap/>
            <w:vAlign w:val="bottom"/>
            <w:hideMark/>
          </w:tcPr>
          <w:p w14:paraId="37ACEE7F" w14:textId="77777777" w:rsidR="00FB1BA6" w:rsidRPr="005808D4" w:rsidRDefault="00FB1BA6" w:rsidP="00521982">
            <w:pPr>
              <w:jc w:val="right"/>
              <w:rPr>
                <w:rFonts w:ascii="Calibri" w:eastAsia="Times New Roman" w:hAnsi="Calibri" w:cs="Calibri"/>
                <w:b/>
                <w:bCs/>
                <w:color w:val="FFFFFF"/>
                <w:sz w:val="22"/>
                <w:szCs w:val="22"/>
                <w:lang w:eastAsia="en-GB"/>
              </w:rPr>
            </w:pPr>
            <w:r w:rsidRPr="005808D4">
              <w:rPr>
                <w:rFonts w:ascii="Calibri" w:eastAsia="Times New Roman" w:hAnsi="Calibri" w:cs="Calibri"/>
                <w:b/>
                <w:bCs/>
                <w:color w:val="FFFFFF"/>
                <w:sz w:val="22"/>
                <w:szCs w:val="22"/>
                <w:lang w:eastAsia="en-GB"/>
              </w:rPr>
              <w:t>2024</w:t>
            </w:r>
          </w:p>
        </w:tc>
        <w:tc>
          <w:tcPr>
            <w:tcW w:w="1134" w:type="dxa"/>
            <w:shd w:val="clear" w:color="auto" w:fill="002060"/>
            <w:noWrap/>
            <w:vAlign w:val="bottom"/>
            <w:hideMark/>
          </w:tcPr>
          <w:p w14:paraId="004660AC" w14:textId="77777777" w:rsidR="00FB1BA6" w:rsidRPr="005808D4" w:rsidRDefault="00FB1BA6" w:rsidP="00521982">
            <w:pPr>
              <w:jc w:val="right"/>
              <w:rPr>
                <w:rFonts w:ascii="Calibri" w:eastAsia="Times New Roman" w:hAnsi="Calibri" w:cs="Calibri"/>
                <w:b/>
                <w:bCs/>
                <w:color w:val="FFFFFF"/>
                <w:sz w:val="22"/>
                <w:szCs w:val="22"/>
                <w:lang w:eastAsia="en-GB"/>
              </w:rPr>
            </w:pPr>
            <w:r w:rsidRPr="005808D4">
              <w:rPr>
                <w:rFonts w:ascii="Calibri" w:eastAsia="Times New Roman" w:hAnsi="Calibri" w:cs="Calibri"/>
                <w:b/>
                <w:bCs/>
                <w:color w:val="FFFFFF"/>
                <w:sz w:val="22"/>
                <w:szCs w:val="22"/>
                <w:lang w:eastAsia="en-GB"/>
              </w:rPr>
              <w:t>2025</w:t>
            </w:r>
          </w:p>
        </w:tc>
        <w:tc>
          <w:tcPr>
            <w:tcW w:w="1134" w:type="dxa"/>
            <w:shd w:val="clear" w:color="auto" w:fill="002060"/>
            <w:noWrap/>
            <w:vAlign w:val="bottom"/>
            <w:hideMark/>
          </w:tcPr>
          <w:p w14:paraId="26F7547E" w14:textId="77777777" w:rsidR="00FB1BA6" w:rsidRPr="005808D4" w:rsidRDefault="00FB1BA6" w:rsidP="00521982">
            <w:pPr>
              <w:jc w:val="right"/>
              <w:rPr>
                <w:rFonts w:ascii="Calibri" w:eastAsia="Times New Roman" w:hAnsi="Calibri" w:cs="Calibri"/>
                <w:b/>
                <w:bCs/>
                <w:color w:val="FFFFFF"/>
                <w:sz w:val="22"/>
                <w:szCs w:val="22"/>
                <w:lang w:eastAsia="en-GB"/>
              </w:rPr>
            </w:pPr>
            <w:r w:rsidRPr="005808D4">
              <w:rPr>
                <w:rFonts w:ascii="Calibri" w:eastAsia="Times New Roman" w:hAnsi="Calibri" w:cs="Calibri"/>
                <w:b/>
                <w:bCs/>
                <w:color w:val="FFFFFF"/>
                <w:sz w:val="22"/>
                <w:szCs w:val="22"/>
                <w:lang w:eastAsia="en-GB"/>
              </w:rPr>
              <w:t>2026</w:t>
            </w:r>
          </w:p>
        </w:tc>
        <w:tc>
          <w:tcPr>
            <w:tcW w:w="993" w:type="dxa"/>
            <w:shd w:val="clear" w:color="auto" w:fill="002060"/>
            <w:noWrap/>
            <w:vAlign w:val="bottom"/>
            <w:hideMark/>
          </w:tcPr>
          <w:p w14:paraId="79712D7A" w14:textId="77777777" w:rsidR="00FB1BA6" w:rsidRPr="005808D4" w:rsidRDefault="00FB1BA6" w:rsidP="00521982">
            <w:pPr>
              <w:jc w:val="right"/>
              <w:rPr>
                <w:rFonts w:ascii="Calibri" w:eastAsia="Times New Roman" w:hAnsi="Calibri" w:cs="Calibri"/>
                <w:b/>
                <w:bCs/>
                <w:color w:val="FFFFFF"/>
                <w:sz w:val="22"/>
                <w:szCs w:val="22"/>
                <w:lang w:eastAsia="en-GB"/>
              </w:rPr>
            </w:pPr>
            <w:r w:rsidRPr="005808D4">
              <w:rPr>
                <w:rFonts w:ascii="Calibri" w:eastAsia="Times New Roman" w:hAnsi="Calibri" w:cs="Calibri"/>
                <w:b/>
                <w:bCs/>
                <w:color w:val="FFFFFF"/>
                <w:sz w:val="22"/>
                <w:szCs w:val="22"/>
                <w:lang w:eastAsia="en-GB"/>
              </w:rPr>
              <w:t>2027</w:t>
            </w:r>
          </w:p>
        </w:tc>
        <w:tc>
          <w:tcPr>
            <w:tcW w:w="1564" w:type="dxa"/>
            <w:shd w:val="clear" w:color="auto" w:fill="002060"/>
            <w:noWrap/>
            <w:vAlign w:val="bottom"/>
            <w:hideMark/>
          </w:tcPr>
          <w:p w14:paraId="05EAA965" w14:textId="77777777" w:rsidR="00FB1BA6" w:rsidRPr="005808D4" w:rsidRDefault="00FB1BA6" w:rsidP="00521982">
            <w:pPr>
              <w:rPr>
                <w:rFonts w:ascii="Calibri" w:eastAsia="Times New Roman" w:hAnsi="Calibri" w:cs="Calibri"/>
                <w:b/>
                <w:bCs/>
                <w:color w:val="FFFFFF"/>
                <w:sz w:val="22"/>
                <w:szCs w:val="22"/>
                <w:lang w:eastAsia="en-GB"/>
              </w:rPr>
            </w:pPr>
            <w:r w:rsidRPr="005808D4">
              <w:rPr>
                <w:rFonts w:ascii="Calibri" w:eastAsia="Times New Roman" w:hAnsi="Calibri" w:cs="Calibri"/>
                <w:b/>
                <w:bCs/>
                <w:color w:val="FFFFFF"/>
                <w:sz w:val="22"/>
                <w:szCs w:val="22"/>
                <w:lang w:eastAsia="en-GB"/>
              </w:rPr>
              <w:t>Perpetuity</w:t>
            </w:r>
          </w:p>
        </w:tc>
      </w:tr>
      <w:tr w:rsidR="00FB1BA6" w:rsidRPr="005808D4" w14:paraId="7E93AA77" w14:textId="77777777" w:rsidTr="00521982">
        <w:trPr>
          <w:trHeight w:val="300"/>
        </w:trPr>
        <w:tc>
          <w:tcPr>
            <w:tcW w:w="1276" w:type="dxa"/>
            <w:shd w:val="clear" w:color="auto" w:fill="auto"/>
            <w:noWrap/>
            <w:vAlign w:val="bottom"/>
            <w:hideMark/>
          </w:tcPr>
          <w:p w14:paraId="1028BB9C" w14:textId="77777777" w:rsidR="00FB1BA6" w:rsidRPr="005808D4" w:rsidRDefault="00FB1BA6" w:rsidP="00521982">
            <w:pPr>
              <w:jc w:val="right"/>
              <w:rPr>
                <w:rFonts w:ascii="Calibri" w:eastAsia="Times New Roman" w:hAnsi="Calibri" w:cs="Calibri"/>
                <w:color w:val="000000"/>
                <w:sz w:val="22"/>
                <w:szCs w:val="22"/>
                <w:lang w:eastAsia="en-GB"/>
              </w:rPr>
            </w:pPr>
            <w:r w:rsidRPr="005808D4">
              <w:rPr>
                <w:rFonts w:ascii="Calibri" w:eastAsia="Times New Roman" w:hAnsi="Calibri" w:cs="Calibri"/>
                <w:color w:val="000000"/>
                <w:sz w:val="22"/>
                <w:szCs w:val="22"/>
                <w:lang w:eastAsia="en-GB"/>
              </w:rPr>
              <w:t>0</w:t>
            </w:r>
          </w:p>
        </w:tc>
        <w:tc>
          <w:tcPr>
            <w:tcW w:w="1275" w:type="dxa"/>
            <w:shd w:val="clear" w:color="auto" w:fill="auto"/>
            <w:noWrap/>
            <w:vAlign w:val="bottom"/>
            <w:hideMark/>
          </w:tcPr>
          <w:p w14:paraId="05B1F883" w14:textId="77777777" w:rsidR="00FB1BA6" w:rsidRPr="005808D4" w:rsidRDefault="00FB1BA6" w:rsidP="00521982">
            <w:pPr>
              <w:jc w:val="right"/>
              <w:rPr>
                <w:rFonts w:ascii="Calibri" w:eastAsia="Times New Roman" w:hAnsi="Calibri" w:cs="Calibri"/>
                <w:color w:val="000000"/>
                <w:sz w:val="22"/>
                <w:szCs w:val="22"/>
                <w:lang w:eastAsia="en-GB"/>
              </w:rPr>
            </w:pPr>
            <w:r w:rsidRPr="005808D4">
              <w:rPr>
                <w:rFonts w:ascii="Calibri" w:eastAsia="Times New Roman" w:hAnsi="Calibri" w:cs="Calibri"/>
                <w:color w:val="000000"/>
                <w:sz w:val="22"/>
                <w:szCs w:val="22"/>
                <w:lang w:eastAsia="en-GB"/>
              </w:rPr>
              <w:t>3</w:t>
            </w:r>
          </w:p>
        </w:tc>
        <w:tc>
          <w:tcPr>
            <w:tcW w:w="1134" w:type="dxa"/>
            <w:shd w:val="clear" w:color="auto" w:fill="auto"/>
            <w:noWrap/>
            <w:vAlign w:val="bottom"/>
            <w:hideMark/>
          </w:tcPr>
          <w:p w14:paraId="17976CD8" w14:textId="77777777" w:rsidR="00FB1BA6" w:rsidRPr="005808D4" w:rsidRDefault="00FB1BA6" w:rsidP="00521982">
            <w:pPr>
              <w:jc w:val="right"/>
              <w:rPr>
                <w:rFonts w:ascii="Calibri" w:eastAsia="Times New Roman" w:hAnsi="Calibri" w:cs="Calibri"/>
                <w:color w:val="000000"/>
                <w:sz w:val="22"/>
                <w:szCs w:val="22"/>
                <w:lang w:eastAsia="en-GB"/>
              </w:rPr>
            </w:pPr>
            <w:r w:rsidRPr="005808D4">
              <w:rPr>
                <w:rFonts w:ascii="Calibri" w:eastAsia="Times New Roman" w:hAnsi="Calibri" w:cs="Calibri"/>
                <w:color w:val="000000"/>
                <w:sz w:val="22"/>
                <w:szCs w:val="22"/>
                <w:lang w:eastAsia="en-GB"/>
              </w:rPr>
              <w:t>2</w:t>
            </w:r>
          </w:p>
        </w:tc>
        <w:tc>
          <w:tcPr>
            <w:tcW w:w="1134" w:type="dxa"/>
            <w:shd w:val="clear" w:color="auto" w:fill="auto"/>
            <w:noWrap/>
            <w:vAlign w:val="bottom"/>
            <w:hideMark/>
          </w:tcPr>
          <w:p w14:paraId="2737573D" w14:textId="77777777" w:rsidR="00FB1BA6" w:rsidRPr="005808D4" w:rsidRDefault="00FB1BA6" w:rsidP="00521982">
            <w:pPr>
              <w:jc w:val="right"/>
              <w:rPr>
                <w:rFonts w:ascii="Calibri" w:eastAsia="Times New Roman" w:hAnsi="Calibri" w:cs="Calibri"/>
                <w:color w:val="000000"/>
                <w:sz w:val="22"/>
                <w:szCs w:val="22"/>
                <w:lang w:eastAsia="en-GB"/>
              </w:rPr>
            </w:pPr>
            <w:r w:rsidRPr="005808D4">
              <w:rPr>
                <w:rFonts w:ascii="Calibri" w:eastAsia="Times New Roman" w:hAnsi="Calibri" w:cs="Calibri"/>
                <w:color w:val="000000"/>
                <w:sz w:val="22"/>
                <w:szCs w:val="22"/>
                <w:lang w:eastAsia="en-GB"/>
              </w:rPr>
              <w:t>1</w:t>
            </w:r>
          </w:p>
        </w:tc>
        <w:tc>
          <w:tcPr>
            <w:tcW w:w="993" w:type="dxa"/>
            <w:shd w:val="clear" w:color="auto" w:fill="auto"/>
            <w:noWrap/>
            <w:vAlign w:val="bottom"/>
            <w:hideMark/>
          </w:tcPr>
          <w:p w14:paraId="111A7E8D" w14:textId="77777777" w:rsidR="00FB1BA6" w:rsidRPr="005808D4" w:rsidRDefault="00FB1BA6" w:rsidP="00521982">
            <w:pPr>
              <w:jc w:val="right"/>
              <w:rPr>
                <w:rFonts w:ascii="Calibri" w:eastAsia="Times New Roman" w:hAnsi="Calibri" w:cs="Calibri"/>
                <w:color w:val="000000"/>
                <w:sz w:val="22"/>
                <w:szCs w:val="22"/>
                <w:lang w:eastAsia="en-GB"/>
              </w:rPr>
            </w:pPr>
            <w:r w:rsidRPr="005808D4">
              <w:rPr>
                <w:rFonts w:ascii="Calibri" w:eastAsia="Times New Roman" w:hAnsi="Calibri" w:cs="Calibri"/>
                <w:color w:val="000000"/>
                <w:sz w:val="22"/>
                <w:szCs w:val="22"/>
                <w:lang w:eastAsia="en-GB"/>
              </w:rPr>
              <w:t>1</w:t>
            </w:r>
          </w:p>
        </w:tc>
        <w:tc>
          <w:tcPr>
            <w:tcW w:w="1564" w:type="dxa"/>
            <w:shd w:val="clear" w:color="auto" w:fill="auto"/>
            <w:noWrap/>
            <w:vAlign w:val="bottom"/>
            <w:hideMark/>
          </w:tcPr>
          <w:p w14:paraId="4075B453" w14:textId="77777777" w:rsidR="00FB1BA6" w:rsidRPr="005808D4" w:rsidRDefault="00FB1BA6" w:rsidP="00521982">
            <w:pPr>
              <w:jc w:val="right"/>
              <w:rPr>
                <w:rFonts w:ascii="Calibri" w:eastAsia="Times New Roman" w:hAnsi="Calibri" w:cs="Calibri"/>
                <w:color w:val="000000"/>
                <w:sz w:val="22"/>
                <w:szCs w:val="22"/>
                <w:lang w:eastAsia="en-GB"/>
              </w:rPr>
            </w:pPr>
            <w:r w:rsidRPr="005808D4">
              <w:rPr>
                <w:rFonts w:ascii="Calibri" w:eastAsia="Times New Roman" w:hAnsi="Calibri" w:cs="Calibri"/>
                <w:color w:val="000000"/>
                <w:sz w:val="22"/>
                <w:szCs w:val="22"/>
                <w:lang w:eastAsia="en-GB"/>
              </w:rPr>
              <w:t>0.94</w:t>
            </w:r>
          </w:p>
        </w:tc>
      </w:tr>
    </w:tbl>
    <w:p w14:paraId="645837E7" w14:textId="77777777" w:rsidR="00FB1BA6" w:rsidRDefault="00FB1BA6" w:rsidP="00FB1BA6">
      <w:pPr>
        <w:rPr>
          <w:rFonts w:eastAsiaTheme="minorEastAsia"/>
        </w:rPr>
      </w:pPr>
      <w:r>
        <w:rPr>
          <w:rFonts w:eastAsiaTheme="minorEastAsia"/>
        </w:rPr>
        <w:t xml:space="preserve">This CAPEX schedule would return their fleet size back to their previous high in 2017 of 50 ships. It is once they have returned to that level that they can match the fleet growth of mature competitors such as AP Moller Maersk. </w:t>
      </w:r>
    </w:p>
    <w:p w14:paraId="6D599304" w14:textId="77777777" w:rsidR="00B6692C" w:rsidRDefault="00B6692C" w:rsidP="00FB1BA6">
      <w:pPr>
        <w:rPr>
          <w:rFonts w:eastAsiaTheme="minorEastAsia"/>
        </w:rPr>
      </w:pPr>
    </w:p>
    <w:p w14:paraId="7ED5F297" w14:textId="7EE335D3" w:rsidR="00FB1BA6" w:rsidRDefault="00B6692C" w:rsidP="00FB1BA6">
      <w:pPr>
        <w:rPr>
          <w:rFonts w:eastAsiaTheme="minorEastAsia"/>
        </w:rPr>
      </w:pPr>
      <w:r>
        <w:rPr>
          <w:rFonts w:eastAsiaTheme="minorEastAsia"/>
        </w:rPr>
        <w:t>In years of little acquisition, Diana still registered CAPEX average $6mn</w:t>
      </w:r>
      <w:r w:rsidR="00FB1BA6">
        <w:rPr>
          <w:rFonts w:eastAsiaTheme="minorEastAsia"/>
        </w:rPr>
        <w:t xml:space="preserve">. We have used this as their maintenance CAPEX and 36.67mn as their ship acquisition CAPEX. Given 7 ships were acquired in late 2022, we have spread that CAPEX over 2022 and 2023 period and have accordingly failed to register any additional acquisitions until 2024. </w:t>
      </w:r>
    </w:p>
    <w:p w14:paraId="70C88729" w14:textId="77777777" w:rsidR="00FB1BA6" w:rsidRDefault="00FB1BA6" w:rsidP="00FB1BA6">
      <w:pPr>
        <w:rPr>
          <w:rFonts w:eastAsiaTheme="minorEastAsia"/>
        </w:rPr>
      </w:pPr>
    </w:p>
    <w:p w14:paraId="57F616EB" w14:textId="77777777" w:rsidR="00FB1BA6" w:rsidRDefault="00FB1BA6" w:rsidP="00FB1BA6">
      <w:pPr>
        <w:rPr>
          <w:rFonts w:eastAsiaTheme="minorEastAsia"/>
        </w:rPr>
      </w:pPr>
    </w:p>
    <w:tbl>
      <w:tblPr>
        <w:tblW w:w="7540" w:type="dxa"/>
        <w:tblInd w:w="733" w:type="dxa"/>
        <w:tblLook w:val="04A0" w:firstRow="1" w:lastRow="0" w:firstColumn="1" w:lastColumn="0" w:noHBand="0" w:noVBand="1"/>
      </w:tblPr>
      <w:tblGrid>
        <w:gridCol w:w="1060"/>
        <w:gridCol w:w="1060"/>
        <w:gridCol w:w="1060"/>
        <w:gridCol w:w="1060"/>
        <w:gridCol w:w="1060"/>
        <w:gridCol w:w="1060"/>
        <w:gridCol w:w="1180"/>
      </w:tblGrid>
      <w:tr w:rsidR="00FB1BA6" w:rsidRPr="00626782" w14:paraId="09472D14" w14:textId="77777777" w:rsidTr="00521982">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002060"/>
            <w:noWrap/>
            <w:vAlign w:val="bottom"/>
            <w:hideMark/>
          </w:tcPr>
          <w:p w14:paraId="16DA2C49" w14:textId="77777777" w:rsidR="00FB1BA6" w:rsidRPr="00626782" w:rsidRDefault="00FB1BA6" w:rsidP="00521982">
            <w:pPr>
              <w:jc w:val="right"/>
              <w:rPr>
                <w:rFonts w:ascii="Calibri" w:eastAsia="Times New Roman" w:hAnsi="Calibri" w:cs="Calibri"/>
                <w:b/>
                <w:bCs/>
                <w:color w:val="FFFFFF"/>
                <w:sz w:val="22"/>
                <w:szCs w:val="22"/>
                <w:lang w:eastAsia="en-GB"/>
              </w:rPr>
            </w:pPr>
            <w:r w:rsidRPr="00626782">
              <w:rPr>
                <w:rFonts w:ascii="Calibri" w:eastAsia="Times New Roman" w:hAnsi="Calibri" w:cs="Calibri"/>
                <w:b/>
                <w:bCs/>
                <w:color w:val="FFFFFF"/>
                <w:sz w:val="22"/>
                <w:szCs w:val="22"/>
                <w:lang w:eastAsia="en-GB"/>
              </w:rPr>
              <w:t>2022</w:t>
            </w:r>
          </w:p>
        </w:tc>
        <w:tc>
          <w:tcPr>
            <w:tcW w:w="1060" w:type="dxa"/>
            <w:tcBorders>
              <w:top w:val="single" w:sz="4" w:space="0" w:color="auto"/>
              <w:left w:val="nil"/>
              <w:bottom w:val="single" w:sz="4" w:space="0" w:color="auto"/>
              <w:right w:val="single" w:sz="4" w:space="0" w:color="auto"/>
            </w:tcBorders>
            <w:shd w:val="clear" w:color="auto" w:fill="002060"/>
            <w:noWrap/>
            <w:vAlign w:val="bottom"/>
            <w:hideMark/>
          </w:tcPr>
          <w:p w14:paraId="4AE1AA1C" w14:textId="77777777" w:rsidR="00FB1BA6" w:rsidRPr="00626782" w:rsidRDefault="00FB1BA6" w:rsidP="00521982">
            <w:pPr>
              <w:jc w:val="right"/>
              <w:rPr>
                <w:rFonts w:ascii="Calibri" w:eastAsia="Times New Roman" w:hAnsi="Calibri" w:cs="Calibri"/>
                <w:b/>
                <w:bCs/>
                <w:color w:val="FFFFFF"/>
                <w:sz w:val="22"/>
                <w:szCs w:val="22"/>
                <w:lang w:eastAsia="en-GB"/>
              </w:rPr>
            </w:pPr>
            <w:r w:rsidRPr="00626782">
              <w:rPr>
                <w:rFonts w:ascii="Calibri" w:eastAsia="Times New Roman" w:hAnsi="Calibri" w:cs="Calibri"/>
                <w:b/>
                <w:bCs/>
                <w:color w:val="FFFFFF"/>
                <w:sz w:val="22"/>
                <w:szCs w:val="22"/>
                <w:lang w:eastAsia="en-GB"/>
              </w:rPr>
              <w:t>2023</w:t>
            </w:r>
          </w:p>
        </w:tc>
        <w:tc>
          <w:tcPr>
            <w:tcW w:w="1060" w:type="dxa"/>
            <w:tcBorders>
              <w:top w:val="single" w:sz="4" w:space="0" w:color="auto"/>
              <w:left w:val="nil"/>
              <w:bottom w:val="single" w:sz="4" w:space="0" w:color="auto"/>
              <w:right w:val="single" w:sz="4" w:space="0" w:color="auto"/>
            </w:tcBorders>
            <w:shd w:val="clear" w:color="auto" w:fill="002060"/>
            <w:noWrap/>
            <w:vAlign w:val="bottom"/>
            <w:hideMark/>
          </w:tcPr>
          <w:p w14:paraId="4E47D9D9" w14:textId="77777777" w:rsidR="00FB1BA6" w:rsidRPr="00626782" w:rsidRDefault="00FB1BA6" w:rsidP="00521982">
            <w:pPr>
              <w:jc w:val="right"/>
              <w:rPr>
                <w:rFonts w:ascii="Calibri" w:eastAsia="Times New Roman" w:hAnsi="Calibri" w:cs="Calibri"/>
                <w:b/>
                <w:bCs/>
                <w:color w:val="FFFFFF"/>
                <w:sz w:val="22"/>
                <w:szCs w:val="22"/>
                <w:lang w:eastAsia="en-GB"/>
              </w:rPr>
            </w:pPr>
            <w:r w:rsidRPr="00626782">
              <w:rPr>
                <w:rFonts w:ascii="Calibri" w:eastAsia="Times New Roman" w:hAnsi="Calibri" w:cs="Calibri"/>
                <w:b/>
                <w:bCs/>
                <w:color w:val="FFFFFF"/>
                <w:sz w:val="22"/>
                <w:szCs w:val="22"/>
                <w:lang w:eastAsia="en-GB"/>
              </w:rPr>
              <w:t>2024</w:t>
            </w:r>
          </w:p>
        </w:tc>
        <w:tc>
          <w:tcPr>
            <w:tcW w:w="1060" w:type="dxa"/>
            <w:tcBorders>
              <w:top w:val="single" w:sz="4" w:space="0" w:color="auto"/>
              <w:left w:val="nil"/>
              <w:bottom w:val="single" w:sz="4" w:space="0" w:color="auto"/>
              <w:right w:val="single" w:sz="4" w:space="0" w:color="auto"/>
            </w:tcBorders>
            <w:shd w:val="clear" w:color="auto" w:fill="002060"/>
            <w:noWrap/>
            <w:vAlign w:val="bottom"/>
            <w:hideMark/>
          </w:tcPr>
          <w:p w14:paraId="357D4654" w14:textId="77777777" w:rsidR="00FB1BA6" w:rsidRPr="00626782" w:rsidRDefault="00FB1BA6" w:rsidP="00521982">
            <w:pPr>
              <w:jc w:val="right"/>
              <w:rPr>
                <w:rFonts w:ascii="Calibri" w:eastAsia="Times New Roman" w:hAnsi="Calibri" w:cs="Calibri"/>
                <w:b/>
                <w:bCs/>
                <w:color w:val="FFFFFF"/>
                <w:sz w:val="22"/>
                <w:szCs w:val="22"/>
                <w:lang w:eastAsia="en-GB"/>
              </w:rPr>
            </w:pPr>
            <w:r w:rsidRPr="00626782">
              <w:rPr>
                <w:rFonts w:ascii="Calibri" w:eastAsia="Times New Roman" w:hAnsi="Calibri" w:cs="Calibri"/>
                <w:b/>
                <w:bCs/>
                <w:color w:val="FFFFFF"/>
                <w:sz w:val="22"/>
                <w:szCs w:val="22"/>
                <w:lang w:eastAsia="en-GB"/>
              </w:rPr>
              <w:t>2025</w:t>
            </w:r>
          </w:p>
        </w:tc>
        <w:tc>
          <w:tcPr>
            <w:tcW w:w="1060" w:type="dxa"/>
            <w:tcBorders>
              <w:top w:val="single" w:sz="4" w:space="0" w:color="auto"/>
              <w:left w:val="nil"/>
              <w:bottom w:val="single" w:sz="4" w:space="0" w:color="auto"/>
              <w:right w:val="single" w:sz="4" w:space="0" w:color="auto"/>
            </w:tcBorders>
            <w:shd w:val="clear" w:color="auto" w:fill="002060"/>
            <w:noWrap/>
            <w:vAlign w:val="bottom"/>
            <w:hideMark/>
          </w:tcPr>
          <w:p w14:paraId="21FFDEF5" w14:textId="77777777" w:rsidR="00FB1BA6" w:rsidRPr="00626782" w:rsidRDefault="00FB1BA6" w:rsidP="00521982">
            <w:pPr>
              <w:jc w:val="right"/>
              <w:rPr>
                <w:rFonts w:ascii="Calibri" w:eastAsia="Times New Roman" w:hAnsi="Calibri" w:cs="Calibri"/>
                <w:b/>
                <w:bCs/>
                <w:color w:val="FFFFFF"/>
                <w:sz w:val="22"/>
                <w:szCs w:val="22"/>
                <w:lang w:eastAsia="en-GB"/>
              </w:rPr>
            </w:pPr>
            <w:r w:rsidRPr="00626782">
              <w:rPr>
                <w:rFonts w:ascii="Calibri" w:eastAsia="Times New Roman" w:hAnsi="Calibri" w:cs="Calibri"/>
                <w:b/>
                <w:bCs/>
                <w:color w:val="FFFFFF"/>
                <w:sz w:val="22"/>
                <w:szCs w:val="22"/>
                <w:lang w:eastAsia="en-GB"/>
              </w:rPr>
              <w:t>2026</w:t>
            </w:r>
          </w:p>
        </w:tc>
        <w:tc>
          <w:tcPr>
            <w:tcW w:w="1060" w:type="dxa"/>
            <w:tcBorders>
              <w:top w:val="single" w:sz="4" w:space="0" w:color="auto"/>
              <w:left w:val="nil"/>
              <w:bottom w:val="single" w:sz="4" w:space="0" w:color="auto"/>
              <w:right w:val="single" w:sz="4" w:space="0" w:color="auto"/>
            </w:tcBorders>
            <w:shd w:val="clear" w:color="auto" w:fill="002060"/>
            <w:noWrap/>
            <w:vAlign w:val="bottom"/>
            <w:hideMark/>
          </w:tcPr>
          <w:p w14:paraId="701919B1" w14:textId="77777777" w:rsidR="00FB1BA6" w:rsidRPr="00626782" w:rsidRDefault="00FB1BA6" w:rsidP="00521982">
            <w:pPr>
              <w:jc w:val="right"/>
              <w:rPr>
                <w:rFonts w:ascii="Calibri" w:eastAsia="Times New Roman" w:hAnsi="Calibri" w:cs="Calibri"/>
                <w:b/>
                <w:bCs/>
                <w:color w:val="FFFFFF"/>
                <w:sz w:val="22"/>
                <w:szCs w:val="22"/>
                <w:lang w:eastAsia="en-GB"/>
              </w:rPr>
            </w:pPr>
            <w:r w:rsidRPr="00626782">
              <w:rPr>
                <w:rFonts w:ascii="Calibri" w:eastAsia="Times New Roman" w:hAnsi="Calibri" w:cs="Calibri"/>
                <w:b/>
                <w:bCs/>
                <w:color w:val="FFFFFF"/>
                <w:sz w:val="22"/>
                <w:szCs w:val="22"/>
                <w:lang w:eastAsia="en-GB"/>
              </w:rPr>
              <w:t>2027</w:t>
            </w:r>
          </w:p>
        </w:tc>
        <w:tc>
          <w:tcPr>
            <w:tcW w:w="1180" w:type="dxa"/>
            <w:tcBorders>
              <w:top w:val="single" w:sz="4" w:space="0" w:color="auto"/>
              <w:left w:val="nil"/>
              <w:bottom w:val="single" w:sz="4" w:space="0" w:color="auto"/>
              <w:right w:val="single" w:sz="4" w:space="0" w:color="auto"/>
            </w:tcBorders>
            <w:shd w:val="clear" w:color="auto" w:fill="002060"/>
            <w:noWrap/>
            <w:vAlign w:val="bottom"/>
            <w:hideMark/>
          </w:tcPr>
          <w:p w14:paraId="0DFBA074" w14:textId="77777777" w:rsidR="00FB1BA6" w:rsidRPr="00626782" w:rsidRDefault="00FB1BA6" w:rsidP="00521982">
            <w:pPr>
              <w:rPr>
                <w:rFonts w:ascii="Calibri" w:eastAsia="Times New Roman" w:hAnsi="Calibri" w:cs="Calibri"/>
                <w:b/>
                <w:bCs/>
                <w:color w:val="FFFFFF"/>
                <w:sz w:val="22"/>
                <w:szCs w:val="22"/>
                <w:lang w:eastAsia="en-GB"/>
              </w:rPr>
            </w:pPr>
            <w:r w:rsidRPr="00626782">
              <w:rPr>
                <w:rFonts w:ascii="Calibri" w:eastAsia="Times New Roman" w:hAnsi="Calibri" w:cs="Calibri"/>
                <w:b/>
                <w:bCs/>
                <w:color w:val="FFFFFF"/>
                <w:sz w:val="22"/>
                <w:szCs w:val="22"/>
                <w:lang w:eastAsia="en-GB"/>
              </w:rPr>
              <w:t>Perpetuity</w:t>
            </w:r>
          </w:p>
        </w:tc>
      </w:tr>
      <w:tr w:rsidR="00FB1BA6" w:rsidRPr="00626782" w14:paraId="45A077D7" w14:textId="77777777" w:rsidTr="0052198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A990ED1" w14:textId="77777777" w:rsidR="00FB1BA6" w:rsidRPr="00626782" w:rsidRDefault="00FB1BA6" w:rsidP="00521982">
            <w:pPr>
              <w:jc w:val="right"/>
              <w:rPr>
                <w:rFonts w:ascii="Calibri" w:eastAsia="Times New Roman" w:hAnsi="Calibri" w:cs="Calibri"/>
                <w:color w:val="000000"/>
                <w:sz w:val="22"/>
                <w:szCs w:val="22"/>
                <w:lang w:eastAsia="en-GB"/>
              </w:rPr>
            </w:pPr>
            <w:r>
              <w:rPr>
                <w:rFonts w:ascii="Calibri" w:hAnsi="Calibri" w:cs="Calibri"/>
                <w:color w:val="000000"/>
                <w:sz w:val="22"/>
                <w:szCs w:val="22"/>
              </w:rPr>
              <w:t>134.331</w:t>
            </w:r>
          </w:p>
        </w:tc>
        <w:tc>
          <w:tcPr>
            <w:tcW w:w="1060" w:type="dxa"/>
            <w:tcBorders>
              <w:top w:val="nil"/>
              <w:left w:val="nil"/>
              <w:bottom w:val="single" w:sz="4" w:space="0" w:color="auto"/>
              <w:right w:val="single" w:sz="4" w:space="0" w:color="auto"/>
            </w:tcBorders>
            <w:shd w:val="clear" w:color="auto" w:fill="auto"/>
            <w:noWrap/>
            <w:vAlign w:val="bottom"/>
            <w:hideMark/>
          </w:tcPr>
          <w:p w14:paraId="2CDA2465" w14:textId="77777777" w:rsidR="00FB1BA6" w:rsidRPr="00626782" w:rsidRDefault="00FB1BA6" w:rsidP="00521982">
            <w:pPr>
              <w:jc w:val="right"/>
              <w:rPr>
                <w:rFonts w:ascii="Calibri" w:eastAsia="Times New Roman" w:hAnsi="Calibri" w:cs="Calibri"/>
                <w:color w:val="000000"/>
                <w:sz w:val="22"/>
                <w:szCs w:val="22"/>
                <w:lang w:eastAsia="en-GB"/>
              </w:rPr>
            </w:pPr>
            <w:r>
              <w:rPr>
                <w:rFonts w:ascii="Calibri" w:hAnsi="Calibri" w:cs="Calibri"/>
                <w:color w:val="000000"/>
                <w:sz w:val="22"/>
                <w:szCs w:val="22"/>
              </w:rPr>
              <w:t>134.331</w:t>
            </w:r>
          </w:p>
        </w:tc>
        <w:tc>
          <w:tcPr>
            <w:tcW w:w="1060" w:type="dxa"/>
            <w:tcBorders>
              <w:top w:val="nil"/>
              <w:left w:val="nil"/>
              <w:bottom w:val="single" w:sz="4" w:space="0" w:color="auto"/>
              <w:right w:val="single" w:sz="4" w:space="0" w:color="auto"/>
            </w:tcBorders>
            <w:shd w:val="clear" w:color="auto" w:fill="auto"/>
            <w:noWrap/>
            <w:vAlign w:val="bottom"/>
            <w:hideMark/>
          </w:tcPr>
          <w:p w14:paraId="47B30092" w14:textId="77777777" w:rsidR="00FB1BA6" w:rsidRPr="00626782" w:rsidRDefault="00FB1BA6" w:rsidP="00521982">
            <w:pPr>
              <w:jc w:val="right"/>
              <w:rPr>
                <w:rFonts w:ascii="Calibri" w:eastAsia="Times New Roman" w:hAnsi="Calibri" w:cs="Calibri"/>
                <w:color w:val="000000"/>
                <w:sz w:val="22"/>
                <w:szCs w:val="22"/>
                <w:lang w:eastAsia="en-GB"/>
              </w:rPr>
            </w:pPr>
            <w:r>
              <w:rPr>
                <w:rFonts w:ascii="Calibri" w:hAnsi="Calibri" w:cs="Calibri"/>
                <w:color w:val="000000"/>
                <w:sz w:val="22"/>
                <w:szCs w:val="22"/>
              </w:rPr>
              <w:t>115.98</w:t>
            </w:r>
          </w:p>
        </w:tc>
        <w:tc>
          <w:tcPr>
            <w:tcW w:w="1060" w:type="dxa"/>
            <w:tcBorders>
              <w:top w:val="nil"/>
              <w:left w:val="nil"/>
              <w:bottom w:val="single" w:sz="4" w:space="0" w:color="auto"/>
              <w:right w:val="single" w:sz="4" w:space="0" w:color="auto"/>
            </w:tcBorders>
            <w:shd w:val="clear" w:color="auto" w:fill="auto"/>
            <w:noWrap/>
            <w:vAlign w:val="bottom"/>
            <w:hideMark/>
          </w:tcPr>
          <w:p w14:paraId="3929BEA0" w14:textId="77777777" w:rsidR="00FB1BA6" w:rsidRPr="00626782" w:rsidRDefault="00FB1BA6" w:rsidP="00521982">
            <w:pPr>
              <w:jc w:val="right"/>
              <w:rPr>
                <w:rFonts w:ascii="Calibri" w:eastAsia="Times New Roman" w:hAnsi="Calibri" w:cs="Calibri"/>
                <w:color w:val="000000"/>
                <w:sz w:val="22"/>
                <w:szCs w:val="22"/>
                <w:lang w:eastAsia="en-GB"/>
              </w:rPr>
            </w:pPr>
            <w:r>
              <w:rPr>
                <w:rFonts w:ascii="Calibri" w:hAnsi="Calibri" w:cs="Calibri"/>
                <w:color w:val="000000"/>
                <w:sz w:val="22"/>
                <w:szCs w:val="22"/>
              </w:rPr>
              <w:t>79.32</w:t>
            </w:r>
          </w:p>
        </w:tc>
        <w:tc>
          <w:tcPr>
            <w:tcW w:w="1060" w:type="dxa"/>
            <w:tcBorders>
              <w:top w:val="nil"/>
              <w:left w:val="nil"/>
              <w:bottom w:val="single" w:sz="4" w:space="0" w:color="auto"/>
              <w:right w:val="single" w:sz="4" w:space="0" w:color="auto"/>
            </w:tcBorders>
            <w:shd w:val="clear" w:color="auto" w:fill="auto"/>
            <w:noWrap/>
            <w:vAlign w:val="bottom"/>
            <w:hideMark/>
          </w:tcPr>
          <w:p w14:paraId="1182D4F2" w14:textId="77777777" w:rsidR="00FB1BA6" w:rsidRPr="00626782" w:rsidRDefault="00FB1BA6" w:rsidP="00521982">
            <w:pPr>
              <w:jc w:val="right"/>
              <w:rPr>
                <w:rFonts w:ascii="Calibri" w:eastAsia="Times New Roman" w:hAnsi="Calibri" w:cs="Calibri"/>
                <w:color w:val="000000"/>
                <w:sz w:val="22"/>
                <w:szCs w:val="22"/>
                <w:lang w:eastAsia="en-GB"/>
              </w:rPr>
            </w:pPr>
            <w:r>
              <w:rPr>
                <w:rFonts w:ascii="Calibri" w:hAnsi="Calibri" w:cs="Calibri"/>
                <w:color w:val="000000"/>
                <w:sz w:val="22"/>
                <w:szCs w:val="22"/>
              </w:rPr>
              <w:t>42.66</w:t>
            </w:r>
          </w:p>
        </w:tc>
        <w:tc>
          <w:tcPr>
            <w:tcW w:w="1060" w:type="dxa"/>
            <w:tcBorders>
              <w:top w:val="nil"/>
              <w:left w:val="nil"/>
              <w:bottom w:val="single" w:sz="4" w:space="0" w:color="auto"/>
              <w:right w:val="single" w:sz="4" w:space="0" w:color="auto"/>
            </w:tcBorders>
            <w:shd w:val="clear" w:color="auto" w:fill="auto"/>
            <w:noWrap/>
            <w:vAlign w:val="bottom"/>
            <w:hideMark/>
          </w:tcPr>
          <w:p w14:paraId="63301311" w14:textId="77777777" w:rsidR="00FB1BA6" w:rsidRPr="00626782" w:rsidRDefault="00FB1BA6" w:rsidP="00521982">
            <w:pPr>
              <w:jc w:val="right"/>
              <w:rPr>
                <w:rFonts w:ascii="Calibri" w:eastAsia="Times New Roman" w:hAnsi="Calibri" w:cs="Calibri"/>
                <w:color w:val="000000"/>
                <w:sz w:val="22"/>
                <w:szCs w:val="22"/>
                <w:lang w:eastAsia="en-GB"/>
              </w:rPr>
            </w:pPr>
            <w:r>
              <w:rPr>
                <w:rFonts w:ascii="Calibri" w:hAnsi="Calibri" w:cs="Calibri"/>
                <w:color w:val="000000"/>
                <w:sz w:val="22"/>
                <w:szCs w:val="22"/>
              </w:rPr>
              <w:t>45.66</w:t>
            </w:r>
          </w:p>
        </w:tc>
        <w:tc>
          <w:tcPr>
            <w:tcW w:w="1180" w:type="dxa"/>
            <w:tcBorders>
              <w:top w:val="nil"/>
              <w:left w:val="nil"/>
              <w:bottom w:val="single" w:sz="4" w:space="0" w:color="auto"/>
              <w:right w:val="single" w:sz="4" w:space="0" w:color="auto"/>
            </w:tcBorders>
            <w:shd w:val="clear" w:color="auto" w:fill="auto"/>
            <w:noWrap/>
            <w:vAlign w:val="bottom"/>
            <w:hideMark/>
          </w:tcPr>
          <w:p w14:paraId="46585422" w14:textId="77777777" w:rsidR="00FB1BA6" w:rsidRPr="00626782" w:rsidRDefault="00FB1BA6" w:rsidP="00521982">
            <w:pPr>
              <w:jc w:val="right"/>
              <w:rPr>
                <w:rFonts w:ascii="Calibri" w:eastAsia="Times New Roman" w:hAnsi="Calibri" w:cs="Calibri"/>
                <w:color w:val="000000"/>
                <w:sz w:val="22"/>
                <w:szCs w:val="22"/>
                <w:lang w:eastAsia="en-GB"/>
              </w:rPr>
            </w:pPr>
            <w:r>
              <w:rPr>
                <w:rFonts w:ascii="Calibri" w:hAnsi="Calibri" w:cs="Calibri"/>
                <w:color w:val="000000"/>
                <w:sz w:val="22"/>
                <w:szCs w:val="22"/>
              </w:rPr>
              <w:t>45.29604</w:t>
            </w:r>
          </w:p>
        </w:tc>
      </w:tr>
    </w:tbl>
    <w:p w14:paraId="382244A1" w14:textId="77777777" w:rsidR="00FB1BA6" w:rsidRDefault="00FB1BA6" w:rsidP="00FB1BA6">
      <w:pPr>
        <w:jc w:val="center"/>
        <w:rPr>
          <w:lang w:val="en-US"/>
        </w:rPr>
      </w:pPr>
      <w:r>
        <w:rPr>
          <w:lang w:val="en-US"/>
        </w:rPr>
        <w:t>Source: Own Estimates</w:t>
      </w:r>
    </w:p>
    <w:p w14:paraId="7DBA5ED8" w14:textId="77777777" w:rsidR="00DF6CB2" w:rsidRDefault="00DF6CB2" w:rsidP="00DF6CB2">
      <w:pPr>
        <w:tabs>
          <w:tab w:val="left" w:pos="6562"/>
        </w:tabs>
        <w:rPr>
          <w:rFonts w:eastAsiaTheme="minorEastAsia"/>
        </w:rPr>
      </w:pPr>
    </w:p>
    <w:p w14:paraId="47A8496D" w14:textId="77777777" w:rsidR="00DF6CB2" w:rsidRDefault="00DF6CB2" w:rsidP="00DF6CB2">
      <w:pPr>
        <w:tabs>
          <w:tab w:val="left" w:pos="6562"/>
        </w:tabs>
        <w:rPr>
          <w:rFonts w:eastAsiaTheme="minorEastAsia"/>
        </w:rPr>
      </w:pPr>
      <w:r>
        <w:rPr>
          <w:rFonts w:eastAsiaTheme="minorEastAsia"/>
        </w:rPr>
        <w:t>Using fleet sizes and assumption that fleet utilization is unaffected, we can reach volume growth YoY. The only year utilization dropped below 97% was 2020 and even still it remained above 94%.</w:t>
      </w:r>
    </w:p>
    <w:p w14:paraId="1E15A395" w14:textId="77777777" w:rsidR="00DF6CB2" w:rsidRDefault="00DF6CB2" w:rsidP="00DF6CB2">
      <w:pPr>
        <w:tabs>
          <w:tab w:val="left" w:pos="6562"/>
        </w:tabs>
        <w:rPr>
          <w:rFonts w:eastAsiaTheme="minorEastAsia"/>
        </w:rPr>
      </w:pPr>
    </w:p>
    <w:tbl>
      <w:tblPr>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666"/>
        <w:gridCol w:w="1134"/>
        <w:gridCol w:w="992"/>
        <w:gridCol w:w="993"/>
        <w:gridCol w:w="1134"/>
        <w:gridCol w:w="1134"/>
        <w:gridCol w:w="1154"/>
      </w:tblGrid>
      <w:tr w:rsidR="00DF6CB2" w:rsidRPr="00F6761F" w14:paraId="4FBCE722" w14:textId="77777777" w:rsidTr="00B6692C">
        <w:trPr>
          <w:trHeight w:val="300"/>
        </w:trPr>
        <w:tc>
          <w:tcPr>
            <w:tcW w:w="1744" w:type="dxa"/>
            <w:shd w:val="clear" w:color="000000" w:fill="1F497D"/>
            <w:noWrap/>
            <w:vAlign w:val="bottom"/>
            <w:hideMark/>
          </w:tcPr>
          <w:p w14:paraId="3F313B75" w14:textId="77777777" w:rsidR="00DF6CB2" w:rsidRPr="00F6761F" w:rsidRDefault="00DF6CB2" w:rsidP="00B3714A">
            <w:pPr>
              <w:rPr>
                <w:rFonts w:ascii="Calibri" w:eastAsia="Times New Roman" w:hAnsi="Calibri" w:cs="Calibri"/>
                <w:color w:val="FFFFFF"/>
                <w:sz w:val="22"/>
                <w:szCs w:val="22"/>
                <w:lang w:eastAsia="en-GB"/>
              </w:rPr>
            </w:pPr>
            <w:r w:rsidRPr="00F6761F">
              <w:rPr>
                <w:rFonts w:ascii="Calibri" w:eastAsia="Times New Roman" w:hAnsi="Calibri" w:cs="Calibri"/>
                <w:color w:val="FFFFFF"/>
                <w:sz w:val="22"/>
                <w:szCs w:val="22"/>
                <w:lang w:eastAsia="en-GB"/>
              </w:rPr>
              <w:t>Year</w:t>
            </w:r>
          </w:p>
        </w:tc>
        <w:tc>
          <w:tcPr>
            <w:tcW w:w="666" w:type="dxa"/>
            <w:shd w:val="clear" w:color="000000" w:fill="1F497D"/>
            <w:noWrap/>
            <w:vAlign w:val="bottom"/>
            <w:hideMark/>
          </w:tcPr>
          <w:p w14:paraId="5EC2D769" w14:textId="77777777" w:rsidR="00DF6CB2" w:rsidRPr="00F6761F" w:rsidRDefault="00DF6CB2" w:rsidP="00B3714A">
            <w:pPr>
              <w:jc w:val="right"/>
              <w:rPr>
                <w:rFonts w:ascii="Calibri" w:eastAsia="Times New Roman" w:hAnsi="Calibri" w:cs="Calibri"/>
                <w:color w:val="FFFFFF"/>
                <w:sz w:val="22"/>
                <w:szCs w:val="22"/>
                <w:lang w:eastAsia="en-GB"/>
              </w:rPr>
            </w:pPr>
            <w:r w:rsidRPr="00F6761F">
              <w:rPr>
                <w:rFonts w:ascii="Calibri" w:eastAsia="Times New Roman" w:hAnsi="Calibri" w:cs="Calibri"/>
                <w:color w:val="FFFFFF"/>
                <w:sz w:val="22"/>
                <w:szCs w:val="22"/>
                <w:lang w:eastAsia="en-GB"/>
              </w:rPr>
              <w:t>2022</w:t>
            </w:r>
          </w:p>
        </w:tc>
        <w:tc>
          <w:tcPr>
            <w:tcW w:w="1134" w:type="dxa"/>
            <w:shd w:val="clear" w:color="000000" w:fill="1F497D"/>
            <w:noWrap/>
            <w:vAlign w:val="bottom"/>
            <w:hideMark/>
          </w:tcPr>
          <w:p w14:paraId="73CEC42A" w14:textId="77777777" w:rsidR="00DF6CB2" w:rsidRPr="00F6761F" w:rsidRDefault="00DF6CB2" w:rsidP="00B3714A">
            <w:pPr>
              <w:jc w:val="right"/>
              <w:rPr>
                <w:rFonts w:ascii="Calibri" w:eastAsia="Times New Roman" w:hAnsi="Calibri" w:cs="Calibri"/>
                <w:color w:val="FFFFFF"/>
                <w:sz w:val="22"/>
                <w:szCs w:val="22"/>
                <w:lang w:eastAsia="en-GB"/>
              </w:rPr>
            </w:pPr>
            <w:r w:rsidRPr="00F6761F">
              <w:rPr>
                <w:rFonts w:ascii="Calibri" w:eastAsia="Times New Roman" w:hAnsi="Calibri" w:cs="Calibri"/>
                <w:color w:val="FFFFFF"/>
                <w:sz w:val="22"/>
                <w:szCs w:val="22"/>
                <w:lang w:eastAsia="en-GB"/>
              </w:rPr>
              <w:t>2023</w:t>
            </w:r>
          </w:p>
        </w:tc>
        <w:tc>
          <w:tcPr>
            <w:tcW w:w="992" w:type="dxa"/>
            <w:shd w:val="clear" w:color="000000" w:fill="1F497D"/>
            <w:noWrap/>
            <w:vAlign w:val="bottom"/>
            <w:hideMark/>
          </w:tcPr>
          <w:p w14:paraId="5E48641C" w14:textId="77777777" w:rsidR="00DF6CB2" w:rsidRPr="00F6761F" w:rsidRDefault="00DF6CB2" w:rsidP="00B3714A">
            <w:pPr>
              <w:jc w:val="right"/>
              <w:rPr>
                <w:rFonts w:ascii="Calibri" w:eastAsia="Times New Roman" w:hAnsi="Calibri" w:cs="Calibri"/>
                <w:color w:val="FFFFFF"/>
                <w:sz w:val="22"/>
                <w:szCs w:val="22"/>
                <w:lang w:eastAsia="en-GB"/>
              </w:rPr>
            </w:pPr>
            <w:r w:rsidRPr="00F6761F">
              <w:rPr>
                <w:rFonts w:ascii="Calibri" w:eastAsia="Times New Roman" w:hAnsi="Calibri" w:cs="Calibri"/>
                <w:color w:val="FFFFFF"/>
                <w:sz w:val="22"/>
                <w:szCs w:val="22"/>
                <w:lang w:eastAsia="en-GB"/>
              </w:rPr>
              <w:t>2024</w:t>
            </w:r>
          </w:p>
        </w:tc>
        <w:tc>
          <w:tcPr>
            <w:tcW w:w="993" w:type="dxa"/>
            <w:shd w:val="clear" w:color="000000" w:fill="1F497D"/>
            <w:noWrap/>
            <w:vAlign w:val="bottom"/>
            <w:hideMark/>
          </w:tcPr>
          <w:p w14:paraId="1A3572E5" w14:textId="77777777" w:rsidR="00DF6CB2" w:rsidRPr="00F6761F" w:rsidRDefault="00DF6CB2" w:rsidP="00B3714A">
            <w:pPr>
              <w:jc w:val="right"/>
              <w:rPr>
                <w:rFonts w:ascii="Calibri" w:eastAsia="Times New Roman" w:hAnsi="Calibri" w:cs="Calibri"/>
                <w:color w:val="FFFFFF"/>
                <w:sz w:val="22"/>
                <w:szCs w:val="22"/>
                <w:lang w:eastAsia="en-GB"/>
              </w:rPr>
            </w:pPr>
            <w:r w:rsidRPr="00F6761F">
              <w:rPr>
                <w:rFonts w:ascii="Calibri" w:eastAsia="Times New Roman" w:hAnsi="Calibri" w:cs="Calibri"/>
                <w:color w:val="FFFFFF"/>
                <w:sz w:val="22"/>
                <w:szCs w:val="22"/>
                <w:lang w:eastAsia="en-GB"/>
              </w:rPr>
              <w:t>2025</w:t>
            </w:r>
          </w:p>
        </w:tc>
        <w:tc>
          <w:tcPr>
            <w:tcW w:w="1134" w:type="dxa"/>
            <w:shd w:val="clear" w:color="000000" w:fill="1F497D"/>
            <w:noWrap/>
            <w:vAlign w:val="bottom"/>
            <w:hideMark/>
          </w:tcPr>
          <w:p w14:paraId="0F85842D" w14:textId="77777777" w:rsidR="00DF6CB2" w:rsidRPr="00F6761F" w:rsidRDefault="00DF6CB2" w:rsidP="00B3714A">
            <w:pPr>
              <w:jc w:val="right"/>
              <w:rPr>
                <w:rFonts w:ascii="Calibri" w:eastAsia="Times New Roman" w:hAnsi="Calibri" w:cs="Calibri"/>
                <w:color w:val="FFFFFF"/>
                <w:sz w:val="22"/>
                <w:szCs w:val="22"/>
                <w:lang w:eastAsia="en-GB"/>
              </w:rPr>
            </w:pPr>
            <w:r w:rsidRPr="00F6761F">
              <w:rPr>
                <w:rFonts w:ascii="Calibri" w:eastAsia="Times New Roman" w:hAnsi="Calibri" w:cs="Calibri"/>
                <w:color w:val="FFFFFF"/>
                <w:sz w:val="22"/>
                <w:szCs w:val="22"/>
                <w:lang w:eastAsia="en-GB"/>
              </w:rPr>
              <w:t>2026</w:t>
            </w:r>
          </w:p>
        </w:tc>
        <w:tc>
          <w:tcPr>
            <w:tcW w:w="1134" w:type="dxa"/>
            <w:shd w:val="clear" w:color="000000" w:fill="1F497D"/>
            <w:noWrap/>
            <w:vAlign w:val="bottom"/>
            <w:hideMark/>
          </w:tcPr>
          <w:p w14:paraId="102C62AE" w14:textId="77777777" w:rsidR="00DF6CB2" w:rsidRPr="00F6761F" w:rsidRDefault="00DF6CB2" w:rsidP="00B3714A">
            <w:pPr>
              <w:jc w:val="right"/>
              <w:rPr>
                <w:rFonts w:ascii="Calibri" w:eastAsia="Times New Roman" w:hAnsi="Calibri" w:cs="Calibri"/>
                <w:color w:val="FFFFFF"/>
                <w:sz w:val="22"/>
                <w:szCs w:val="22"/>
                <w:lang w:eastAsia="en-GB"/>
              </w:rPr>
            </w:pPr>
            <w:r w:rsidRPr="00F6761F">
              <w:rPr>
                <w:rFonts w:ascii="Calibri" w:eastAsia="Times New Roman" w:hAnsi="Calibri" w:cs="Calibri"/>
                <w:color w:val="FFFFFF"/>
                <w:sz w:val="22"/>
                <w:szCs w:val="22"/>
                <w:lang w:eastAsia="en-GB"/>
              </w:rPr>
              <w:t>2027</w:t>
            </w:r>
          </w:p>
        </w:tc>
        <w:tc>
          <w:tcPr>
            <w:tcW w:w="1154" w:type="dxa"/>
            <w:shd w:val="clear" w:color="000000" w:fill="1F497D"/>
            <w:noWrap/>
            <w:vAlign w:val="bottom"/>
            <w:hideMark/>
          </w:tcPr>
          <w:p w14:paraId="11D266C2" w14:textId="77777777" w:rsidR="00DF6CB2" w:rsidRPr="00F6761F" w:rsidRDefault="00DF6CB2" w:rsidP="00B3714A">
            <w:pPr>
              <w:rPr>
                <w:rFonts w:ascii="Calibri" w:eastAsia="Times New Roman" w:hAnsi="Calibri" w:cs="Calibri"/>
                <w:color w:val="FFFFFF"/>
                <w:sz w:val="22"/>
                <w:szCs w:val="22"/>
                <w:lang w:eastAsia="en-GB"/>
              </w:rPr>
            </w:pPr>
            <w:r w:rsidRPr="00F6761F">
              <w:rPr>
                <w:rFonts w:ascii="Calibri" w:eastAsia="Times New Roman" w:hAnsi="Calibri" w:cs="Calibri"/>
                <w:color w:val="FFFFFF"/>
                <w:sz w:val="22"/>
                <w:szCs w:val="22"/>
                <w:lang w:eastAsia="en-GB"/>
              </w:rPr>
              <w:t>Perpetuity</w:t>
            </w:r>
          </w:p>
        </w:tc>
      </w:tr>
      <w:tr w:rsidR="00DF6CB2" w:rsidRPr="00F6761F" w14:paraId="7D732C85" w14:textId="77777777" w:rsidTr="00B6692C">
        <w:trPr>
          <w:trHeight w:val="300"/>
        </w:trPr>
        <w:tc>
          <w:tcPr>
            <w:tcW w:w="1744" w:type="dxa"/>
            <w:shd w:val="clear" w:color="auto" w:fill="auto"/>
            <w:noWrap/>
            <w:vAlign w:val="bottom"/>
            <w:hideMark/>
          </w:tcPr>
          <w:p w14:paraId="1CFBE835" w14:textId="77777777" w:rsidR="00DF6CB2" w:rsidRPr="00F6761F" w:rsidRDefault="00DF6CB2" w:rsidP="00B3714A">
            <w:pPr>
              <w:rPr>
                <w:rFonts w:ascii="Calibri" w:eastAsia="Times New Roman" w:hAnsi="Calibri" w:cs="Calibri"/>
                <w:color w:val="000000"/>
                <w:sz w:val="22"/>
                <w:szCs w:val="22"/>
                <w:lang w:eastAsia="en-GB"/>
              </w:rPr>
            </w:pPr>
            <w:r w:rsidRPr="00F6761F">
              <w:rPr>
                <w:rFonts w:ascii="Calibri" w:eastAsia="Times New Roman" w:hAnsi="Calibri" w:cs="Calibri"/>
                <w:color w:val="000000"/>
                <w:sz w:val="22"/>
                <w:szCs w:val="22"/>
                <w:lang w:eastAsia="en-GB"/>
              </w:rPr>
              <w:t>Volume Growth</w:t>
            </w:r>
          </w:p>
        </w:tc>
        <w:tc>
          <w:tcPr>
            <w:tcW w:w="666" w:type="dxa"/>
            <w:shd w:val="clear" w:color="auto" w:fill="auto"/>
            <w:noWrap/>
            <w:vAlign w:val="bottom"/>
            <w:hideMark/>
          </w:tcPr>
          <w:p w14:paraId="0707FF77" w14:textId="77777777" w:rsidR="00DF6CB2" w:rsidRPr="00F6761F" w:rsidRDefault="00DF6CB2" w:rsidP="00B3714A">
            <w:pPr>
              <w:jc w:val="right"/>
              <w:rPr>
                <w:rFonts w:ascii="Calibri" w:eastAsia="Times New Roman" w:hAnsi="Calibri" w:cs="Calibri"/>
                <w:color w:val="000000"/>
                <w:sz w:val="22"/>
                <w:szCs w:val="22"/>
                <w:lang w:eastAsia="en-GB"/>
              </w:rPr>
            </w:pPr>
          </w:p>
        </w:tc>
        <w:tc>
          <w:tcPr>
            <w:tcW w:w="1134" w:type="dxa"/>
            <w:shd w:val="clear" w:color="auto" w:fill="auto"/>
            <w:noWrap/>
            <w:vAlign w:val="bottom"/>
            <w:hideMark/>
          </w:tcPr>
          <w:p w14:paraId="58E03346" w14:textId="77777777" w:rsidR="00DF6CB2" w:rsidRPr="00F6761F" w:rsidRDefault="00DF6CB2" w:rsidP="00B3714A">
            <w:pPr>
              <w:jc w:val="right"/>
              <w:rPr>
                <w:rFonts w:ascii="Calibri" w:eastAsia="Times New Roman" w:hAnsi="Calibri" w:cs="Calibri"/>
                <w:color w:val="000000"/>
                <w:sz w:val="22"/>
                <w:szCs w:val="22"/>
                <w:lang w:eastAsia="en-GB"/>
              </w:rPr>
            </w:pPr>
            <w:r w:rsidRPr="00F6761F">
              <w:rPr>
                <w:rFonts w:ascii="Calibri" w:eastAsia="Times New Roman" w:hAnsi="Calibri" w:cs="Calibri"/>
                <w:color w:val="000000"/>
                <w:sz w:val="22"/>
                <w:szCs w:val="22"/>
                <w:lang w:eastAsia="en-GB"/>
              </w:rPr>
              <w:t>16.45%</w:t>
            </w:r>
          </w:p>
        </w:tc>
        <w:tc>
          <w:tcPr>
            <w:tcW w:w="992" w:type="dxa"/>
            <w:shd w:val="clear" w:color="auto" w:fill="auto"/>
            <w:noWrap/>
            <w:vAlign w:val="bottom"/>
            <w:hideMark/>
          </w:tcPr>
          <w:p w14:paraId="2C1BE35E" w14:textId="77777777" w:rsidR="00DF6CB2" w:rsidRPr="00F6761F" w:rsidRDefault="00DF6CB2" w:rsidP="00B3714A">
            <w:pPr>
              <w:jc w:val="right"/>
              <w:rPr>
                <w:rFonts w:ascii="Calibri" w:eastAsia="Times New Roman" w:hAnsi="Calibri" w:cs="Calibri"/>
                <w:color w:val="000000"/>
                <w:sz w:val="22"/>
                <w:szCs w:val="22"/>
                <w:lang w:eastAsia="en-GB"/>
              </w:rPr>
            </w:pPr>
            <w:r w:rsidRPr="00F6761F">
              <w:rPr>
                <w:rFonts w:ascii="Calibri" w:eastAsia="Times New Roman" w:hAnsi="Calibri" w:cs="Calibri"/>
                <w:color w:val="000000"/>
                <w:sz w:val="22"/>
                <w:szCs w:val="22"/>
                <w:lang w:eastAsia="en-GB"/>
              </w:rPr>
              <w:t>6.98%</w:t>
            </w:r>
          </w:p>
        </w:tc>
        <w:tc>
          <w:tcPr>
            <w:tcW w:w="993" w:type="dxa"/>
            <w:shd w:val="clear" w:color="auto" w:fill="auto"/>
            <w:noWrap/>
            <w:vAlign w:val="bottom"/>
            <w:hideMark/>
          </w:tcPr>
          <w:p w14:paraId="44EE45F2" w14:textId="77777777" w:rsidR="00DF6CB2" w:rsidRPr="00F6761F" w:rsidRDefault="00DF6CB2" w:rsidP="00B3714A">
            <w:pPr>
              <w:jc w:val="right"/>
              <w:rPr>
                <w:rFonts w:ascii="Calibri" w:eastAsia="Times New Roman" w:hAnsi="Calibri" w:cs="Calibri"/>
                <w:color w:val="000000"/>
                <w:sz w:val="22"/>
                <w:szCs w:val="22"/>
                <w:lang w:eastAsia="en-GB"/>
              </w:rPr>
            </w:pPr>
            <w:r w:rsidRPr="00F6761F">
              <w:rPr>
                <w:rFonts w:ascii="Calibri" w:eastAsia="Times New Roman" w:hAnsi="Calibri" w:cs="Calibri"/>
                <w:color w:val="000000"/>
                <w:sz w:val="22"/>
                <w:szCs w:val="22"/>
                <w:lang w:eastAsia="en-GB"/>
              </w:rPr>
              <w:t>4.35%</w:t>
            </w:r>
          </w:p>
        </w:tc>
        <w:tc>
          <w:tcPr>
            <w:tcW w:w="1134" w:type="dxa"/>
            <w:shd w:val="clear" w:color="auto" w:fill="auto"/>
            <w:noWrap/>
            <w:vAlign w:val="bottom"/>
            <w:hideMark/>
          </w:tcPr>
          <w:p w14:paraId="03FE229E" w14:textId="77777777" w:rsidR="00DF6CB2" w:rsidRPr="00F6761F" w:rsidRDefault="00DF6CB2" w:rsidP="00B3714A">
            <w:pPr>
              <w:jc w:val="right"/>
              <w:rPr>
                <w:rFonts w:ascii="Calibri" w:eastAsia="Times New Roman" w:hAnsi="Calibri" w:cs="Calibri"/>
                <w:color w:val="000000"/>
                <w:sz w:val="22"/>
                <w:szCs w:val="22"/>
                <w:lang w:eastAsia="en-GB"/>
              </w:rPr>
            </w:pPr>
            <w:r w:rsidRPr="00F6761F">
              <w:rPr>
                <w:rFonts w:ascii="Calibri" w:eastAsia="Times New Roman" w:hAnsi="Calibri" w:cs="Calibri"/>
                <w:color w:val="000000"/>
                <w:sz w:val="22"/>
                <w:szCs w:val="22"/>
                <w:lang w:eastAsia="en-GB"/>
              </w:rPr>
              <w:t>2.08%</w:t>
            </w:r>
          </w:p>
        </w:tc>
        <w:tc>
          <w:tcPr>
            <w:tcW w:w="1134" w:type="dxa"/>
            <w:shd w:val="clear" w:color="auto" w:fill="auto"/>
            <w:noWrap/>
            <w:vAlign w:val="bottom"/>
            <w:hideMark/>
          </w:tcPr>
          <w:p w14:paraId="4782C8BC" w14:textId="77777777" w:rsidR="00DF6CB2" w:rsidRPr="00F6761F" w:rsidRDefault="00DF6CB2" w:rsidP="00B3714A">
            <w:pPr>
              <w:jc w:val="right"/>
              <w:rPr>
                <w:rFonts w:ascii="Calibri" w:eastAsia="Times New Roman" w:hAnsi="Calibri" w:cs="Calibri"/>
                <w:color w:val="000000"/>
                <w:sz w:val="22"/>
                <w:szCs w:val="22"/>
                <w:lang w:eastAsia="en-GB"/>
              </w:rPr>
            </w:pPr>
            <w:r w:rsidRPr="00F6761F">
              <w:rPr>
                <w:rFonts w:ascii="Calibri" w:eastAsia="Times New Roman" w:hAnsi="Calibri" w:cs="Calibri"/>
                <w:color w:val="000000"/>
                <w:sz w:val="22"/>
                <w:szCs w:val="22"/>
                <w:lang w:eastAsia="en-GB"/>
              </w:rPr>
              <w:t>2.04%</w:t>
            </w:r>
          </w:p>
        </w:tc>
        <w:tc>
          <w:tcPr>
            <w:tcW w:w="1154" w:type="dxa"/>
            <w:shd w:val="clear" w:color="auto" w:fill="auto"/>
            <w:noWrap/>
            <w:vAlign w:val="bottom"/>
            <w:hideMark/>
          </w:tcPr>
          <w:p w14:paraId="7F5BBD1E" w14:textId="77777777" w:rsidR="00DF6CB2" w:rsidRPr="00F6761F" w:rsidRDefault="00DF6CB2" w:rsidP="00B3714A">
            <w:pPr>
              <w:jc w:val="right"/>
              <w:rPr>
                <w:rFonts w:ascii="Calibri" w:eastAsia="Times New Roman" w:hAnsi="Calibri" w:cs="Calibri"/>
                <w:color w:val="000000"/>
                <w:sz w:val="22"/>
                <w:szCs w:val="22"/>
                <w:lang w:eastAsia="en-GB"/>
              </w:rPr>
            </w:pPr>
            <w:r w:rsidRPr="00F6761F">
              <w:rPr>
                <w:rFonts w:ascii="Calibri" w:eastAsia="Times New Roman" w:hAnsi="Calibri" w:cs="Calibri"/>
                <w:color w:val="000000"/>
                <w:sz w:val="22"/>
                <w:szCs w:val="22"/>
                <w:lang w:eastAsia="en-GB"/>
              </w:rPr>
              <w:t>1.88%</w:t>
            </w:r>
          </w:p>
        </w:tc>
      </w:tr>
    </w:tbl>
    <w:p w14:paraId="467FD7A3" w14:textId="76451F2C" w:rsidR="00DF6CB2" w:rsidRDefault="00C659A8" w:rsidP="00C659A8">
      <w:pPr>
        <w:tabs>
          <w:tab w:val="left" w:pos="6562"/>
        </w:tabs>
        <w:jc w:val="center"/>
        <w:rPr>
          <w:rFonts w:eastAsiaTheme="minorEastAsia"/>
        </w:rPr>
      </w:pPr>
      <w:r>
        <w:rPr>
          <w:rFonts w:eastAsiaTheme="minorEastAsia"/>
        </w:rPr>
        <w:t>Source: Own Estimates</w:t>
      </w:r>
    </w:p>
    <w:p w14:paraId="54C9CB9A" w14:textId="77777777" w:rsidR="00C659A8" w:rsidRDefault="00C659A8" w:rsidP="00C659A8">
      <w:pPr>
        <w:tabs>
          <w:tab w:val="left" w:pos="6562"/>
        </w:tabs>
        <w:jc w:val="center"/>
        <w:rPr>
          <w:rFonts w:eastAsiaTheme="minorEastAsia"/>
        </w:rPr>
      </w:pPr>
    </w:p>
    <w:p w14:paraId="255583BA" w14:textId="5C94AD15" w:rsidR="00DF6CB2" w:rsidRDefault="00DF6CB2" w:rsidP="00DF6CB2">
      <w:pPr>
        <w:tabs>
          <w:tab w:val="left" w:pos="6562"/>
        </w:tabs>
        <w:rPr>
          <w:rFonts w:eastAsiaTheme="minorEastAsia"/>
        </w:rPr>
      </w:pPr>
      <w:r>
        <w:rPr>
          <w:rFonts w:eastAsiaTheme="minorEastAsia"/>
        </w:rPr>
        <w:t>Overall we get YoY Growth and final revenue forecasts of:</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84"/>
        <w:gridCol w:w="1300"/>
        <w:gridCol w:w="1300"/>
        <w:gridCol w:w="1183"/>
        <w:gridCol w:w="1134"/>
        <w:gridCol w:w="1154"/>
      </w:tblGrid>
      <w:tr w:rsidR="00DF6CB2" w:rsidRPr="00F126BE" w14:paraId="06DDF39D" w14:textId="77777777" w:rsidTr="00B3714A">
        <w:trPr>
          <w:trHeight w:val="300"/>
        </w:trPr>
        <w:tc>
          <w:tcPr>
            <w:tcW w:w="1696" w:type="dxa"/>
            <w:shd w:val="clear" w:color="000000" w:fill="1F497D"/>
            <w:noWrap/>
            <w:vAlign w:val="bottom"/>
            <w:hideMark/>
          </w:tcPr>
          <w:p w14:paraId="5CAB2EFD" w14:textId="77777777" w:rsidR="00DF6CB2" w:rsidRPr="00F126BE" w:rsidRDefault="00DF6CB2" w:rsidP="00B3714A">
            <w:pPr>
              <w:rPr>
                <w:rFonts w:ascii="Calibri" w:eastAsia="Times New Roman" w:hAnsi="Calibri" w:cs="Calibri"/>
                <w:color w:val="FFFFFF"/>
                <w:sz w:val="22"/>
                <w:szCs w:val="22"/>
                <w:lang w:eastAsia="en-GB"/>
              </w:rPr>
            </w:pPr>
            <w:r w:rsidRPr="00F126BE">
              <w:rPr>
                <w:rFonts w:ascii="Calibri" w:eastAsia="Times New Roman" w:hAnsi="Calibri" w:cs="Calibri"/>
                <w:color w:val="FFFFFF"/>
                <w:sz w:val="22"/>
                <w:szCs w:val="22"/>
                <w:lang w:eastAsia="en-GB"/>
              </w:rPr>
              <w:t>Year</w:t>
            </w:r>
          </w:p>
        </w:tc>
        <w:tc>
          <w:tcPr>
            <w:tcW w:w="1184" w:type="dxa"/>
            <w:shd w:val="clear" w:color="000000" w:fill="1F497D"/>
            <w:noWrap/>
            <w:vAlign w:val="bottom"/>
            <w:hideMark/>
          </w:tcPr>
          <w:p w14:paraId="2E36977F" w14:textId="77777777" w:rsidR="00DF6CB2" w:rsidRPr="00F126BE" w:rsidRDefault="00DF6CB2" w:rsidP="00B3714A">
            <w:pPr>
              <w:jc w:val="right"/>
              <w:rPr>
                <w:rFonts w:ascii="Calibri" w:eastAsia="Times New Roman" w:hAnsi="Calibri" w:cs="Calibri"/>
                <w:color w:val="FFFFFF"/>
                <w:sz w:val="22"/>
                <w:szCs w:val="22"/>
                <w:lang w:eastAsia="en-GB"/>
              </w:rPr>
            </w:pPr>
            <w:r w:rsidRPr="00F126BE">
              <w:rPr>
                <w:rFonts w:ascii="Calibri" w:eastAsia="Times New Roman" w:hAnsi="Calibri" w:cs="Calibri"/>
                <w:color w:val="FFFFFF"/>
                <w:sz w:val="22"/>
                <w:szCs w:val="22"/>
                <w:lang w:eastAsia="en-GB"/>
              </w:rPr>
              <w:t>2023</w:t>
            </w:r>
          </w:p>
        </w:tc>
        <w:tc>
          <w:tcPr>
            <w:tcW w:w="1300" w:type="dxa"/>
            <w:shd w:val="clear" w:color="000000" w:fill="1F497D"/>
            <w:noWrap/>
            <w:vAlign w:val="bottom"/>
            <w:hideMark/>
          </w:tcPr>
          <w:p w14:paraId="7F5EB913" w14:textId="77777777" w:rsidR="00DF6CB2" w:rsidRPr="00F126BE" w:rsidRDefault="00DF6CB2" w:rsidP="00B3714A">
            <w:pPr>
              <w:jc w:val="right"/>
              <w:rPr>
                <w:rFonts w:ascii="Calibri" w:eastAsia="Times New Roman" w:hAnsi="Calibri" w:cs="Calibri"/>
                <w:color w:val="FFFFFF"/>
                <w:sz w:val="22"/>
                <w:szCs w:val="22"/>
                <w:lang w:eastAsia="en-GB"/>
              </w:rPr>
            </w:pPr>
            <w:r w:rsidRPr="00F126BE">
              <w:rPr>
                <w:rFonts w:ascii="Calibri" w:eastAsia="Times New Roman" w:hAnsi="Calibri" w:cs="Calibri"/>
                <w:color w:val="FFFFFF"/>
                <w:sz w:val="22"/>
                <w:szCs w:val="22"/>
                <w:lang w:eastAsia="en-GB"/>
              </w:rPr>
              <w:t>2024</w:t>
            </w:r>
          </w:p>
        </w:tc>
        <w:tc>
          <w:tcPr>
            <w:tcW w:w="1300" w:type="dxa"/>
            <w:shd w:val="clear" w:color="000000" w:fill="1F497D"/>
            <w:noWrap/>
            <w:vAlign w:val="bottom"/>
            <w:hideMark/>
          </w:tcPr>
          <w:p w14:paraId="6FEF1B37" w14:textId="77777777" w:rsidR="00DF6CB2" w:rsidRPr="00F126BE" w:rsidRDefault="00DF6CB2" w:rsidP="00B3714A">
            <w:pPr>
              <w:jc w:val="right"/>
              <w:rPr>
                <w:rFonts w:ascii="Calibri" w:eastAsia="Times New Roman" w:hAnsi="Calibri" w:cs="Calibri"/>
                <w:color w:val="FFFFFF"/>
                <w:sz w:val="22"/>
                <w:szCs w:val="22"/>
                <w:lang w:eastAsia="en-GB"/>
              </w:rPr>
            </w:pPr>
            <w:r w:rsidRPr="00F126BE">
              <w:rPr>
                <w:rFonts w:ascii="Calibri" w:eastAsia="Times New Roman" w:hAnsi="Calibri" w:cs="Calibri"/>
                <w:color w:val="FFFFFF"/>
                <w:sz w:val="22"/>
                <w:szCs w:val="22"/>
                <w:lang w:eastAsia="en-GB"/>
              </w:rPr>
              <w:t>2025</w:t>
            </w:r>
          </w:p>
        </w:tc>
        <w:tc>
          <w:tcPr>
            <w:tcW w:w="1183" w:type="dxa"/>
            <w:shd w:val="clear" w:color="000000" w:fill="1F497D"/>
            <w:noWrap/>
            <w:vAlign w:val="bottom"/>
            <w:hideMark/>
          </w:tcPr>
          <w:p w14:paraId="42F3FD00" w14:textId="77777777" w:rsidR="00DF6CB2" w:rsidRPr="00F126BE" w:rsidRDefault="00DF6CB2" w:rsidP="00B3714A">
            <w:pPr>
              <w:jc w:val="right"/>
              <w:rPr>
                <w:rFonts w:ascii="Calibri" w:eastAsia="Times New Roman" w:hAnsi="Calibri" w:cs="Calibri"/>
                <w:color w:val="FFFFFF"/>
                <w:sz w:val="22"/>
                <w:szCs w:val="22"/>
                <w:lang w:eastAsia="en-GB"/>
              </w:rPr>
            </w:pPr>
            <w:r w:rsidRPr="00F126BE">
              <w:rPr>
                <w:rFonts w:ascii="Calibri" w:eastAsia="Times New Roman" w:hAnsi="Calibri" w:cs="Calibri"/>
                <w:color w:val="FFFFFF"/>
                <w:sz w:val="22"/>
                <w:szCs w:val="22"/>
                <w:lang w:eastAsia="en-GB"/>
              </w:rPr>
              <w:t>2026</w:t>
            </w:r>
          </w:p>
        </w:tc>
        <w:tc>
          <w:tcPr>
            <w:tcW w:w="1134" w:type="dxa"/>
            <w:shd w:val="clear" w:color="000000" w:fill="1F497D"/>
            <w:noWrap/>
            <w:vAlign w:val="bottom"/>
            <w:hideMark/>
          </w:tcPr>
          <w:p w14:paraId="253DB1C2" w14:textId="77777777" w:rsidR="00DF6CB2" w:rsidRPr="00F126BE" w:rsidRDefault="00DF6CB2" w:rsidP="00B3714A">
            <w:pPr>
              <w:jc w:val="right"/>
              <w:rPr>
                <w:rFonts w:ascii="Calibri" w:eastAsia="Times New Roman" w:hAnsi="Calibri" w:cs="Calibri"/>
                <w:color w:val="FFFFFF"/>
                <w:sz w:val="22"/>
                <w:szCs w:val="22"/>
                <w:lang w:eastAsia="en-GB"/>
              </w:rPr>
            </w:pPr>
            <w:r w:rsidRPr="00F126BE">
              <w:rPr>
                <w:rFonts w:ascii="Calibri" w:eastAsia="Times New Roman" w:hAnsi="Calibri" w:cs="Calibri"/>
                <w:color w:val="FFFFFF"/>
                <w:sz w:val="22"/>
                <w:szCs w:val="22"/>
                <w:lang w:eastAsia="en-GB"/>
              </w:rPr>
              <w:t>2027</w:t>
            </w:r>
          </w:p>
        </w:tc>
        <w:tc>
          <w:tcPr>
            <w:tcW w:w="1134" w:type="dxa"/>
            <w:shd w:val="clear" w:color="000000" w:fill="1F497D"/>
            <w:noWrap/>
            <w:vAlign w:val="bottom"/>
            <w:hideMark/>
          </w:tcPr>
          <w:p w14:paraId="4AD92143" w14:textId="77777777" w:rsidR="00DF6CB2" w:rsidRPr="00F126BE" w:rsidRDefault="00DF6CB2" w:rsidP="00B3714A">
            <w:pPr>
              <w:rPr>
                <w:rFonts w:ascii="Calibri" w:eastAsia="Times New Roman" w:hAnsi="Calibri" w:cs="Calibri"/>
                <w:color w:val="FFFFFF"/>
                <w:sz w:val="22"/>
                <w:szCs w:val="22"/>
                <w:lang w:eastAsia="en-GB"/>
              </w:rPr>
            </w:pPr>
            <w:r w:rsidRPr="00F126BE">
              <w:rPr>
                <w:rFonts w:ascii="Calibri" w:eastAsia="Times New Roman" w:hAnsi="Calibri" w:cs="Calibri"/>
                <w:color w:val="FFFFFF"/>
                <w:sz w:val="22"/>
                <w:szCs w:val="22"/>
                <w:lang w:eastAsia="en-GB"/>
              </w:rPr>
              <w:t>Perpetuity</w:t>
            </w:r>
          </w:p>
        </w:tc>
      </w:tr>
      <w:tr w:rsidR="00DF6CB2" w:rsidRPr="00F126BE" w14:paraId="39D9E47E" w14:textId="77777777" w:rsidTr="00B3714A">
        <w:trPr>
          <w:trHeight w:val="300"/>
        </w:trPr>
        <w:tc>
          <w:tcPr>
            <w:tcW w:w="1696" w:type="dxa"/>
            <w:shd w:val="clear" w:color="000000" w:fill="1F497D"/>
            <w:noWrap/>
            <w:vAlign w:val="bottom"/>
            <w:hideMark/>
          </w:tcPr>
          <w:p w14:paraId="0BD79392" w14:textId="77777777" w:rsidR="00DF6CB2" w:rsidRPr="00F126BE" w:rsidRDefault="00DF6CB2" w:rsidP="00B3714A">
            <w:pPr>
              <w:rPr>
                <w:rFonts w:ascii="Calibri" w:eastAsia="Times New Roman" w:hAnsi="Calibri" w:cs="Calibri"/>
                <w:color w:val="FFFFFF"/>
                <w:sz w:val="22"/>
                <w:szCs w:val="22"/>
                <w:lang w:eastAsia="en-GB"/>
              </w:rPr>
            </w:pPr>
            <w:r w:rsidRPr="00F126BE">
              <w:rPr>
                <w:rFonts w:ascii="Calibri" w:eastAsia="Times New Roman" w:hAnsi="Calibri" w:cs="Calibri"/>
                <w:color w:val="FFFFFF"/>
                <w:sz w:val="22"/>
                <w:szCs w:val="22"/>
                <w:lang w:eastAsia="en-GB"/>
              </w:rPr>
              <w:t>Volume Growth</w:t>
            </w:r>
          </w:p>
        </w:tc>
        <w:tc>
          <w:tcPr>
            <w:tcW w:w="1184" w:type="dxa"/>
            <w:shd w:val="clear" w:color="auto" w:fill="auto"/>
            <w:noWrap/>
            <w:vAlign w:val="bottom"/>
            <w:hideMark/>
          </w:tcPr>
          <w:p w14:paraId="68451118" w14:textId="77777777" w:rsidR="00DF6CB2" w:rsidRPr="00F126BE" w:rsidRDefault="00DF6CB2" w:rsidP="00B3714A">
            <w:pPr>
              <w:jc w:val="right"/>
              <w:rPr>
                <w:rFonts w:ascii="Calibri" w:eastAsia="Times New Roman" w:hAnsi="Calibri" w:cs="Calibri"/>
                <w:color w:val="000000"/>
                <w:sz w:val="22"/>
                <w:szCs w:val="22"/>
                <w:lang w:eastAsia="en-GB"/>
              </w:rPr>
            </w:pPr>
            <w:r w:rsidRPr="00F126BE">
              <w:rPr>
                <w:rFonts w:ascii="Calibri" w:eastAsia="Times New Roman" w:hAnsi="Calibri" w:cs="Calibri"/>
                <w:color w:val="000000"/>
                <w:sz w:val="22"/>
                <w:szCs w:val="22"/>
                <w:lang w:eastAsia="en-GB"/>
              </w:rPr>
              <w:t>16.45%</w:t>
            </w:r>
          </w:p>
        </w:tc>
        <w:tc>
          <w:tcPr>
            <w:tcW w:w="1300" w:type="dxa"/>
            <w:shd w:val="clear" w:color="auto" w:fill="auto"/>
            <w:noWrap/>
            <w:vAlign w:val="bottom"/>
            <w:hideMark/>
          </w:tcPr>
          <w:p w14:paraId="3CADA361" w14:textId="77777777" w:rsidR="00DF6CB2" w:rsidRPr="00F126BE" w:rsidRDefault="00DF6CB2" w:rsidP="00B3714A">
            <w:pPr>
              <w:jc w:val="right"/>
              <w:rPr>
                <w:rFonts w:ascii="Calibri" w:eastAsia="Times New Roman" w:hAnsi="Calibri" w:cs="Calibri"/>
                <w:color w:val="000000"/>
                <w:sz w:val="22"/>
                <w:szCs w:val="22"/>
                <w:lang w:eastAsia="en-GB"/>
              </w:rPr>
            </w:pPr>
            <w:r w:rsidRPr="00F126BE">
              <w:rPr>
                <w:rFonts w:ascii="Calibri" w:eastAsia="Times New Roman" w:hAnsi="Calibri" w:cs="Calibri"/>
                <w:color w:val="000000"/>
                <w:sz w:val="22"/>
                <w:szCs w:val="22"/>
                <w:lang w:eastAsia="en-GB"/>
              </w:rPr>
              <w:t>6.98%</w:t>
            </w:r>
          </w:p>
        </w:tc>
        <w:tc>
          <w:tcPr>
            <w:tcW w:w="1300" w:type="dxa"/>
            <w:shd w:val="clear" w:color="auto" w:fill="auto"/>
            <w:noWrap/>
            <w:vAlign w:val="bottom"/>
            <w:hideMark/>
          </w:tcPr>
          <w:p w14:paraId="6C619C06" w14:textId="77777777" w:rsidR="00DF6CB2" w:rsidRPr="00F126BE" w:rsidRDefault="00DF6CB2" w:rsidP="00B3714A">
            <w:pPr>
              <w:jc w:val="right"/>
              <w:rPr>
                <w:rFonts w:ascii="Calibri" w:eastAsia="Times New Roman" w:hAnsi="Calibri" w:cs="Calibri"/>
                <w:color w:val="000000"/>
                <w:sz w:val="22"/>
                <w:szCs w:val="22"/>
                <w:lang w:eastAsia="en-GB"/>
              </w:rPr>
            </w:pPr>
            <w:r w:rsidRPr="00F126BE">
              <w:rPr>
                <w:rFonts w:ascii="Calibri" w:eastAsia="Times New Roman" w:hAnsi="Calibri" w:cs="Calibri"/>
                <w:color w:val="000000"/>
                <w:sz w:val="22"/>
                <w:szCs w:val="22"/>
                <w:lang w:eastAsia="en-GB"/>
              </w:rPr>
              <w:t>4.35%</w:t>
            </w:r>
          </w:p>
        </w:tc>
        <w:tc>
          <w:tcPr>
            <w:tcW w:w="1183" w:type="dxa"/>
            <w:shd w:val="clear" w:color="auto" w:fill="auto"/>
            <w:noWrap/>
            <w:vAlign w:val="bottom"/>
            <w:hideMark/>
          </w:tcPr>
          <w:p w14:paraId="77AB7F92" w14:textId="77777777" w:rsidR="00DF6CB2" w:rsidRPr="00F126BE" w:rsidRDefault="00DF6CB2" w:rsidP="00B3714A">
            <w:pPr>
              <w:jc w:val="right"/>
              <w:rPr>
                <w:rFonts w:ascii="Calibri" w:eastAsia="Times New Roman" w:hAnsi="Calibri" w:cs="Calibri"/>
                <w:color w:val="000000"/>
                <w:sz w:val="22"/>
                <w:szCs w:val="22"/>
                <w:lang w:eastAsia="en-GB"/>
              </w:rPr>
            </w:pPr>
            <w:r w:rsidRPr="00F126BE">
              <w:rPr>
                <w:rFonts w:ascii="Calibri" w:eastAsia="Times New Roman" w:hAnsi="Calibri" w:cs="Calibri"/>
                <w:color w:val="000000"/>
                <w:sz w:val="22"/>
                <w:szCs w:val="22"/>
                <w:lang w:eastAsia="en-GB"/>
              </w:rPr>
              <w:t>2.08%</w:t>
            </w:r>
          </w:p>
        </w:tc>
        <w:tc>
          <w:tcPr>
            <w:tcW w:w="1134" w:type="dxa"/>
            <w:shd w:val="clear" w:color="auto" w:fill="auto"/>
            <w:noWrap/>
            <w:vAlign w:val="bottom"/>
            <w:hideMark/>
          </w:tcPr>
          <w:p w14:paraId="094A0BBD" w14:textId="77777777" w:rsidR="00DF6CB2" w:rsidRPr="00F126BE" w:rsidRDefault="00DF6CB2" w:rsidP="00B3714A">
            <w:pPr>
              <w:jc w:val="right"/>
              <w:rPr>
                <w:rFonts w:ascii="Calibri" w:eastAsia="Times New Roman" w:hAnsi="Calibri" w:cs="Calibri"/>
                <w:color w:val="000000"/>
                <w:sz w:val="22"/>
                <w:szCs w:val="22"/>
                <w:lang w:eastAsia="en-GB"/>
              </w:rPr>
            </w:pPr>
            <w:r w:rsidRPr="00F126BE">
              <w:rPr>
                <w:rFonts w:ascii="Calibri" w:eastAsia="Times New Roman" w:hAnsi="Calibri" w:cs="Calibri"/>
                <w:color w:val="000000"/>
                <w:sz w:val="22"/>
                <w:szCs w:val="22"/>
                <w:lang w:eastAsia="en-GB"/>
              </w:rPr>
              <w:t>2.04%</w:t>
            </w:r>
          </w:p>
        </w:tc>
        <w:tc>
          <w:tcPr>
            <w:tcW w:w="1134" w:type="dxa"/>
            <w:shd w:val="clear" w:color="auto" w:fill="auto"/>
            <w:noWrap/>
            <w:vAlign w:val="bottom"/>
            <w:hideMark/>
          </w:tcPr>
          <w:p w14:paraId="78B10356" w14:textId="77777777" w:rsidR="00DF6CB2" w:rsidRPr="00F126BE" w:rsidRDefault="00DF6CB2" w:rsidP="00B3714A">
            <w:pPr>
              <w:jc w:val="right"/>
              <w:rPr>
                <w:rFonts w:ascii="Calibri" w:eastAsia="Times New Roman" w:hAnsi="Calibri" w:cs="Calibri"/>
                <w:color w:val="000000"/>
                <w:sz w:val="22"/>
                <w:szCs w:val="22"/>
                <w:lang w:eastAsia="en-GB"/>
              </w:rPr>
            </w:pPr>
            <w:r w:rsidRPr="00F126BE">
              <w:rPr>
                <w:rFonts w:ascii="Calibri" w:eastAsia="Times New Roman" w:hAnsi="Calibri" w:cs="Calibri"/>
                <w:color w:val="000000"/>
                <w:sz w:val="22"/>
                <w:szCs w:val="22"/>
                <w:lang w:eastAsia="en-GB"/>
              </w:rPr>
              <w:t>1.88%</w:t>
            </w:r>
          </w:p>
        </w:tc>
      </w:tr>
      <w:tr w:rsidR="00DF6CB2" w:rsidRPr="00F126BE" w14:paraId="5FAC5303" w14:textId="77777777" w:rsidTr="00B3714A">
        <w:trPr>
          <w:trHeight w:val="300"/>
        </w:trPr>
        <w:tc>
          <w:tcPr>
            <w:tcW w:w="1696" w:type="dxa"/>
            <w:shd w:val="clear" w:color="000000" w:fill="1F497D"/>
            <w:noWrap/>
            <w:vAlign w:val="bottom"/>
            <w:hideMark/>
          </w:tcPr>
          <w:p w14:paraId="771F7F20" w14:textId="77777777" w:rsidR="00DF6CB2" w:rsidRPr="00F126BE" w:rsidRDefault="00DF6CB2" w:rsidP="00B3714A">
            <w:pPr>
              <w:rPr>
                <w:rFonts w:ascii="Calibri" w:eastAsia="Times New Roman" w:hAnsi="Calibri" w:cs="Calibri"/>
                <w:color w:val="FFFFFF"/>
                <w:sz w:val="22"/>
                <w:szCs w:val="22"/>
                <w:lang w:eastAsia="en-GB"/>
              </w:rPr>
            </w:pPr>
            <w:r w:rsidRPr="00F126BE">
              <w:rPr>
                <w:rFonts w:ascii="Calibri" w:eastAsia="Times New Roman" w:hAnsi="Calibri" w:cs="Calibri"/>
                <w:color w:val="FFFFFF"/>
                <w:sz w:val="22"/>
                <w:szCs w:val="22"/>
                <w:lang w:eastAsia="en-GB"/>
              </w:rPr>
              <w:t>Price Growth</w:t>
            </w:r>
          </w:p>
        </w:tc>
        <w:tc>
          <w:tcPr>
            <w:tcW w:w="1184" w:type="dxa"/>
            <w:shd w:val="clear" w:color="auto" w:fill="auto"/>
            <w:noWrap/>
            <w:vAlign w:val="bottom"/>
            <w:hideMark/>
          </w:tcPr>
          <w:p w14:paraId="0E5CE829" w14:textId="77777777" w:rsidR="00DF6CB2" w:rsidRPr="00F126BE" w:rsidRDefault="00DF6CB2" w:rsidP="00B3714A">
            <w:pPr>
              <w:jc w:val="right"/>
              <w:rPr>
                <w:rFonts w:ascii="Calibri" w:eastAsia="Times New Roman" w:hAnsi="Calibri" w:cs="Calibri"/>
                <w:color w:val="000000"/>
                <w:sz w:val="22"/>
                <w:szCs w:val="22"/>
                <w:lang w:eastAsia="en-GB"/>
              </w:rPr>
            </w:pPr>
            <w:r w:rsidRPr="00F126BE">
              <w:rPr>
                <w:rFonts w:ascii="Calibri" w:eastAsia="Times New Roman" w:hAnsi="Calibri" w:cs="Calibri"/>
                <w:color w:val="000000"/>
                <w:sz w:val="22"/>
                <w:szCs w:val="22"/>
                <w:lang w:eastAsia="en-GB"/>
              </w:rPr>
              <w:t>-22.94%</w:t>
            </w:r>
          </w:p>
        </w:tc>
        <w:tc>
          <w:tcPr>
            <w:tcW w:w="1300" w:type="dxa"/>
            <w:shd w:val="clear" w:color="auto" w:fill="auto"/>
            <w:noWrap/>
            <w:vAlign w:val="bottom"/>
            <w:hideMark/>
          </w:tcPr>
          <w:p w14:paraId="1D43385A" w14:textId="77777777" w:rsidR="00DF6CB2" w:rsidRPr="00F126BE" w:rsidRDefault="00DF6CB2" w:rsidP="00B3714A">
            <w:pPr>
              <w:jc w:val="right"/>
              <w:rPr>
                <w:rFonts w:ascii="Calibri" w:eastAsia="Times New Roman" w:hAnsi="Calibri" w:cs="Calibri"/>
                <w:color w:val="000000"/>
                <w:sz w:val="22"/>
                <w:szCs w:val="22"/>
                <w:lang w:eastAsia="en-GB"/>
              </w:rPr>
            </w:pPr>
            <w:r w:rsidRPr="00F126BE">
              <w:rPr>
                <w:rFonts w:ascii="Calibri" w:eastAsia="Times New Roman" w:hAnsi="Calibri" w:cs="Calibri"/>
                <w:color w:val="000000"/>
                <w:sz w:val="22"/>
                <w:szCs w:val="22"/>
                <w:lang w:eastAsia="en-GB"/>
              </w:rPr>
              <w:t>-3.82%</w:t>
            </w:r>
          </w:p>
        </w:tc>
        <w:tc>
          <w:tcPr>
            <w:tcW w:w="1300" w:type="dxa"/>
            <w:shd w:val="clear" w:color="auto" w:fill="auto"/>
            <w:noWrap/>
            <w:vAlign w:val="bottom"/>
            <w:hideMark/>
          </w:tcPr>
          <w:p w14:paraId="36D584CD" w14:textId="77777777" w:rsidR="00DF6CB2" w:rsidRPr="00F126BE" w:rsidRDefault="00DF6CB2" w:rsidP="00B3714A">
            <w:pPr>
              <w:jc w:val="right"/>
              <w:rPr>
                <w:rFonts w:ascii="Calibri" w:eastAsia="Times New Roman" w:hAnsi="Calibri" w:cs="Calibri"/>
                <w:color w:val="000000"/>
                <w:sz w:val="22"/>
                <w:szCs w:val="22"/>
                <w:lang w:eastAsia="en-GB"/>
              </w:rPr>
            </w:pPr>
            <w:r w:rsidRPr="00F126BE">
              <w:rPr>
                <w:rFonts w:ascii="Calibri" w:eastAsia="Times New Roman" w:hAnsi="Calibri" w:cs="Calibri"/>
                <w:color w:val="000000"/>
                <w:sz w:val="22"/>
                <w:szCs w:val="22"/>
                <w:lang w:eastAsia="en-GB"/>
              </w:rPr>
              <w:t>2.28%</w:t>
            </w:r>
          </w:p>
        </w:tc>
        <w:tc>
          <w:tcPr>
            <w:tcW w:w="1183" w:type="dxa"/>
            <w:shd w:val="clear" w:color="auto" w:fill="auto"/>
            <w:noWrap/>
            <w:vAlign w:val="bottom"/>
            <w:hideMark/>
          </w:tcPr>
          <w:p w14:paraId="3854777A" w14:textId="77777777" w:rsidR="00DF6CB2" w:rsidRPr="00F126BE" w:rsidRDefault="00DF6CB2" w:rsidP="00B3714A">
            <w:pPr>
              <w:jc w:val="right"/>
              <w:rPr>
                <w:rFonts w:ascii="Calibri" w:eastAsia="Times New Roman" w:hAnsi="Calibri" w:cs="Calibri"/>
                <w:color w:val="000000"/>
                <w:sz w:val="22"/>
                <w:szCs w:val="22"/>
                <w:lang w:eastAsia="en-GB"/>
              </w:rPr>
            </w:pPr>
            <w:r w:rsidRPr="00F126BE">
              <w:rPr>
                <w:rFonts w:ascii="Calibri" w:eastAsia="Times New Roman" w:hAnsi="Calibri" w:cs="Calibri"/>
                <w:color w:val="000000"/>
                <w:sz w:val="22"/>
                <w:szCs w:val="22"/>
                <w:lang w:eastAsia="en-GB"/>
              </w:rPr>
              <w:t>4.94%</w:t>
            </w:r>
          </w:p>
        </w:tc>
        <w:tc>
          <w:tcPr>
            <w:tcW w:w="1134" w:type="dxa"/>
            <w:shd w:val="clear" w:color="auto" w:fill="auto"/>
            <w:noWrap/>
            <w:vAlign w:val="bottom"/>
            <w:hideMark/>
          </w:tcPr>
          <w:p w14:paraId="1B785658" w14:textId="77777777" w:rsidR="00DF6CB2" w:rsidRPr="00F126BE" w:rsidRDefault="00DF6CB2" w:rsidP="00B3714A">
            <w:pPr>
              <w:jc w:val="right"/>
              <w:rPr>
                <w:rFonts w:ascii="Calibri" w:eastAsia="Times New Roman" w:hAnsi="Calibri" w:cs="Calibri"/>
                <w:color w:val="000000"/>
                <w:sz w:val="22"/>
                <w:szCs w:val="22"/>
                <w:lang w:eastAsia="en-GB"/>
              </w:rPr>
            </w:pPr>
            <w:r w:rsidRPr="00F126BE">
              <w:rPr>
                <w:rFonts w:ascii="Calibri" w:eastAsia="Times New Roman" w:hAnsi="Calibri" w:cs="Calibri"/>
                <w:color w:val="000000"/>
                <w:sz w:val="22"/>
                <w:szCs w:val="22"/>
                <w:lang w:eastAsia="en-GB"/>
              </w:rPr>
              <w:t>3.04%</w:t>
            </w:r>
          </w:p>
        </w:tc>
        <w:tc>
          <w:tcPr>
            <w:tcW w:w="1134" w:type="dxa"/>
            <w:shd w:val="clear" w:color="auto" w:fill="auto"/>
            <w:noWrap/>
            <w:vAlign w:val="bottom"/>
            <w:hideMark/>
          </w:tcPr>
          <w:p w14:paraId="72952B55" w14:textId="77777777" w:rsidR="00DF6CB2" w:rsidRPr="00F126BE" w:rsidRDefault="00DF6CB2" w:rsidP="00B3714A">
            <w:pPr>
              <w:jc w:val="right"/>
              <w:rPr>
                <w:rFonts w:ascii="Calibri" w:eastAsia="Times New Roman" w:hAnsi="Calibri" w:cs="Calibri"/>
                <w:color w:val="000000"/>
                <w:sz w:val="22"/>
                <w:szCs w:val="22"/>
                <w:lang w:eastAsia="en-GB"/>
              </w:rPr>
            </w:pPr>
            <w:r w:rsidRPr="00F126BE">
              <w:rPr>
                <w:rFonts w:ascii="Calibri" w:eastAsia="Times New Roman" w:hAnsi="Calibri" w:cs="Calibri"/>
                <w:color w:val="000000"/>
                <w:sz w:val="22"/>
                <w:szCs w:val="22"/>
                <w:lang w:eastAsia="en-GB"/>
              </w:rPr>
              <w:t>2.00%</w:t>
            </w:r>
          </w:p>
        </w:tc>
      </w:tr>
      <w:tr w:rsidR="00DF6CB2" w:rsidRPr="00F126BE" w14:paraId="26B911A5" w14:textId="77777777" w:rsidTr="00B3714A">
        <w:trPr>
          <w:trHeight w:val="300"/>
        </w:trPr>
        <w:tc>
          <w:tcPr>
            <w:tcW w:w="1696" w:type="dxa"/>
            <w:shd w:val="clear" w:color="000000" w:fill="1F497D"/>
            <w:noWrap/>
            <w:vAlign w:val="bottom"/>
            <w:hideMark/>
          </w:tcPr>
          <w:p w14:paraId="70F99319" w14:textId="77777777" w:rsidR="00DF6CB2" w:rsidRPr="00F126BE" w:rsidRDefault="00DF6CB2" w:rsidP="00B3714A">
            <w:pPr>
              <w:rPr>
                <w:rFonts w:ascii="Calibri" w:eastAsia="Times New Roman" w:hAnsi="Calibri" w:cs="Calibri"/>
                <w:color w:val="FFFFFF"/>
                <w:sz w:val="22"/>
                <w:szCs w:val="22"/>
                <w:lang w:eastAsia="en-GB"/>
              </w:rPr>
            </w:pPr>
            <w:r w:rsidRPr="00F126BE">
              <w:rPr>
                <w:rFonts w:ascii="Calibri" w:eastAsia="Times New Roman" w:hAnsi="Calibri" w:cs="Calibri"/>
                <w:color w:val="FFFFFF"/>
                <w:sz w:val="22"/>
                <w:szCs w:val="22"/>
                <w:lang w:eastAsia="en-GB"/>
              </w:rPr>
              <w:t>Overall Growth</w:t>
            </w:r>
          </w:p>
        </w:tc>
        <w:tc>
          <w:tcPr>
            <w:tcW w:w="1184" w:type="dxa"/>
            <w:shd w:val="clear" w:color="auto" w:fill="auto"/>
            <w:noWrap/>
            <w:vAlign w:val="bottom"/>
            <w:hideMark/>
          </w:tcPr>
          <w:p w14:paraId="318D0D56" w14:textId="77777777" w:rsidR="00DF6CB2" w:rsidRPr="00F126BE" w:rsidRDefault="00DF6CB2" w:rsidP="00B3714A">
            <w:pPr>
              <w:jc w:val="right"/>
              <w:rPr>
                <w:rFonts w:ascii="Calibri" w:eastAsia="Times New Roman" w:hAnsi="Calibri" w:cs="Calibri"/>
                <w:color w:val="000000"/>
                <w:sz w:val="22"/>
                <w:szCs w:val="22"/>
                <w:lang w:eastAsia="en-GB"/>
              </w:rPr>
            </w:pPr>
            <w:r w:rsidRPr="00F126BE">
              <w:rPr>
                <w:rFonts w:ascii="Calibri" w:eastAsia="Times New Roman" w:hAnsi="Calibri" w:cs="Calibri"/>
                <w:color w:val="000000"/>
                <w:sz w:val="22"/>
                <w:szCs w:val="22"/>
                <w:lang w:eastAsia="en-GB"/>
              </w:rPr>
              <w:t>-10.26%</w:t>
            </w:r>
          </w:p>
        </w:tc>
        <w:tc>
          <w:tcPr>
            <w:tcW w:w="1300" w:type="dxa"/>
            <w:shd w:val="clear" w:color="auto" w:fill="auto"/>
            <w:noWrap/>
            <w:vAlign w:val="bottom"/>
            <w:hideMark/>
          </w:tcPr>
          <w:p w14:paraId="0B455B69" w14:textId="77777777" w:rsidR="00DF6CB2" w:rsidRPr="00F126BE" w:rsidRDefault="00DF6CB2" w:rsidP="00B3714A">
            <w:pPr>
              <w:jc w:val="right"/>
              <w:rPr>
                <w:rFonts w:ascii="Calibri" w:eastAsia="Times New Roman" w:hAnsi="Calibri" w:cs="Calibri"/>
                <w:color w:val="000000"/>
                <w:sz w:val="22"/>
                <w:szCs w:val="22"/>
                <w:lang w:eastAsia="en-GB"/>
              </w:rPr>
            </w:pPr>
            <w:r w:rsidRPr="00F126BE">
              <w:rPr>
                <w:rFonts w:ascii="Calibri" w:eastAsia="Times New Roman" w:hAnsi="Calibri" w:cs="Calibri"/>
                <w:color w:val="000000"/>
                <w:sz w:val="22"/>
                <w:szCs w:val="22"/>
                <w:lang w:eastAsia="en-GB"/>
              </w:rPr>
              <w:t>2.89%</w:t>
            </w:r>
          </w:p>
        </w:tc>
        <w:tc>
          <w:tcPr>
            <w:tcW w:w="1300" w:type="dxa"/>
            <w:shd w:val="clear" w:color="auto" w:fill="auto"/>
            <w:noWrap/>
            <w:vAlign w:val="bottom"/>
            <w:hideMark/>
          </w:tcPr>
          <w:p w14:paraId="7ED08356" w14:textId="77777777" w:rsidR="00DF6CB2" w:rsidRPr="00F126BE" w:rsidRDefault="00DF6CB2" w:rsidP="00B3714A">
            <w:pPr>
              <w:jc w:val="right"/>
              <w:rPr>
                <w:rFonts w:ascii="Calibri" w:eastAsia="Times New Roman" w:hAnsi="Calibri" w:cs="Calibri"/>
                <w:color w:val="000000"/>
                <w:sz w:val="22"/>
                <w:szCs w:val="22"/>
                <w:lang w:eastAsia="en-GB"/>
              </w:rPr>
            </w:pPr>
            <w:r w:rsidRPr="00F126BE">
              <w:rPr>
                <w:rFonts w:ascii="Calibri" w:eastAsia="Times New Roman" w:hAnsi="Calibri" w:cs="Calibri"/>
                <w:color w:val="000000"/>
                <w:sz w:val="22"/>
                <w:szCs w:val="22"/>
                <w:lang w:eastAsia="en-GB"/>
              </w:rPr>
              <w:t>6.73%</w:t>
            </w:r>
          </w:p>
        </w:tc>
        <w:tc>
          <w:tcPr>
            <w:tcW w:w="1183" w:type="dxa"/>
            <w:shd w:val="clear" w:color="auto" w:fill="auto"/>
            <w:noWrap/>
            <w:vAlign w:val="bottom"/>
            <w:hideMark/>
          </w:tcPr>
          <w:p w14:paraId="204B834A" w14:textId="77777777" w:rsidR="00DF6CB2" w:rsidRPr="00F126BE" w:rsidRDefault="00DF6CB2" w:rsidP="00B3714A">
            <w:pPr>
              <w:jc w:val="right"/>
              <w:rPr>
                <w:rFonts w:ascii="Calibri" w:eastAsia="Times New Roman" w:hAnsi="Calibri" w:cs="Calibri"/>
                <w:color w:val="000000"/>
                <w:sz w:val="22"/>
                <w:szCs w:val="22"/>
                <w:lang w:eastAsia="en-GB"/>
              </w:rPr>
            </w:pPr>
            <w:r w:rsidRPr="00F126BE">
              <w:rPr>
                <w:rFonts w:ascii="Calibri" w:eastAsia="Times New Roman" w:hAnsi="Calibri" w:cs="Calibri"/>
                <w:color w:val="000000"/>
                <w:sz w:val="22"/>
                <w:szCs w:val="22"/>
                <w:lang w:eastAsia="en-GB"/>
              </w:rPr>
              <w:t>7.13%</w:t>
            </w:r>
          </w:p>
        </w:tc>
        <w:tc>
          <w:tcPr>
            <w:tcW w:w="1134" w:type="dxa"/>
            <w:shd w:val="clear" w:color="auto" w:fill="auto"/>
            <w:noWrap/>
            <w:vAlign w:val="bottom"/>
            <w:hideMark/>
          </w:tcPr>
          <w:p w14:paraId="0BF869E7" w14:textId="77777777" w:rsidR="00DF6CB2" w:rsidRPr="00F126BE" w:rsidRDefault="00DF6CB2" w:rsidP="00B3714A">
            <w:pPr>
              <w:jc w:val="right"/>
              <w:rPr>
                <w:rFonts w:ascii="Calibri" w:eastAsia="Times New Roman" w:hAnsi="Calibri" w:cs="Calibri"/>
                <w:color w:val="000000"/>
                <w:sz w:val="22"/>
                <w:szCs w:val="22"/>
                <w:lang w:eastAsia="en-GB"/>
              </w:rPr>
            </w:pPr>
            <w:r w:rsidRPr="00F126BE">
              <w:rPr>
                <w:rFonts w:ascii="Calibri" w:eastAsia="Times New Roman" w:hAnsi="Calibri" w:cs="Calibri"/>
                <w:color w:val="000000"/>
                <w:sz w:val="22"/>
                <w:szCs w:val="22"/>
                <w:lang w:eastAsia="en-GB"/>
              </w:rPr>
              <w:t>5.14%</w:t>
            </w:r>
          </w:p>
        </w:tc>
        <w:tc>
          <w:tcPr>
            <w:tcW w:w="1134" w:type="dxa"/>
            <w:shd w:val="clear" w:color="auto" w:fill="auto"/>
            <w:noWrap/>
            <w:vAlign w:val="bottom"/>
            <w:hideMark/>
          </w:tcPr>
          <w:p w14:paraId="5403895A" w14:textId="77777777" w:rsidR="00DF6CB2" w:rsidRPr="00F126BE" w:rsidRDefault="00DF6CB2" w:rsidP="00B3714A">
            <w:pPr>
              <w:jc w:val="right"/>
              <w:rPr>
                <w:rFonts w:ascii="Calibri" w:eastAsia="Times New Roman" w:hAnsi="Calibri" w:cs="Calibri"/>
                <w:color w:val="000000"/>
                <w:sz w:val="22"/>
                <w:szCs w:val="22"/>
                <w:lang w:eastAsia="en-GB"/>
              </w:rPr>
            </w:pPr>
            <w:r w:rsidRPr="00F126BE">
              <w:rPr>
                <w:rFonts w:ascii="Calibri" w:eastAsia="Times New Roman" w:hAnsi="Calibri" w:cs="Calibri"/>
                <w:color w:val="000000"/>
                <w:sz w:val="22"/>
                <w:szCs w:val="22"/>
                <w:lang w:eastAsia="en-GB"/>
              </w:rPr>
              <w:t>3.92%</w:t>
            </w:r>
          </w:p>
        </w:tc>
      </w:tr>
    </w:tbl>
    <w:p w14:paraId="4267B6DF" w14:textId="287F2445" w:rsidR="00DF6CB2" w:rsidRDefault="00766BED" w:rsidP="00DF6CB2">
      <w:pPr>
        <w:tabs>
          <w:tab w:val="left" w:pos="6562"/>
        </w:tabs>
        <w:rPr>
          <w:rFonts w:eastAsiaTheme="minorEastAsia"/>
        </w:rPr>
      </w:pPr>
      <w:r>
        <w:rPr>
          <w:rFonts w:eastAsiaTheme="minorEastAsia"/>
        </w:rPr>
        <w:t>The reason for 2023E being higher than 2022E despite negative growth calculated is because 36% of fleet is already locked in at rate of $123.7mn</w:t>
      </w:r>
    </w:p>
    <w:p w14:paraId="1FDF7283" w14:textId="1F4F2DE4" w:rsidR="00DF6CB2" w:rsidRDefault="00C659A8" w:rsidP="00DF6CB2">
      <w:pPr>
        <w:tabs>
          <w:tab w:val="left" w:pos="6562"/>
        </w:tabs>
        <w:rPr>
          <w:rFonts w:eastAsiaTheme="minorEastAsia"/>
        </w:rPr>
      </w:pPr>
      <w:r>
        <w:rPr>
          <w:noProof/>
        </w:rPr>
        <w:drawing>
          <wp:anchor distT="0" distB="0" distL="114300" distR="114300" simplePos="0" relativeHeight="251686912" behindDoc="1" locked="0" layoutInCell="1" allowOverlap="1" wp14:anchorId="705B4987" wp14:editId="4911B35C">
            <wp:simplePos x="0" y="0"/>
            <wp:positionH relativeFrom="column">
              <wp:posOffset>578200</wp:posOffset>
            </wp:positionH>
            <wp:positionV relativeFrom="paragraph">
              <wp:posOffset>127402</wp:posOffset>
            </wp:positionV>
            <wp:extent cx="4506634" cy="2659225"/>
            <wp:effectExtent l="0" t="0" r="14605" b="8255"/>
            <wp:wrapNone/>
            <wp:docPr id="5" name="Chart 5">
              <a:extLst xmlns:a="http://schemas.openxmlformats.org/drawingml/2006/main">
                <a:ext uri="{FF2B5EF4-FFF2-40B4-BE49-F238E27FC236}">
                  <a16:creationId xmlns:a16="http://schemas.microsoft.com/office/drawing/2014/main" id="{69A11B7B-3EBC-8EE0-ECFB-54D3D567B9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p>
    <w:p w14:paraId="5A38DBD6" w14:textId="27C3D856" w:rsidR="00DF6CB2" w:rsidRDefault="00DF6CB2" w:rsidP="00DF6CB2">
      <w:pPr>
        <w:tabs>
          <w:tab w:val="left" w:pos="6562"/>
        </w:tabs>
        <w:rPr>
          <w:rFonts w:eastAsiaTheme="minorEastAsia"/>
        </w:rPr>
      </w:pPr>
    </w:p>
    <w:p w14:paraId="52568F30" w14:textId="77777777" w:rsidR="00DF6CB2" w:rsidRDefault="00DF6CB2" w:rsidP="00DF6CB2">
      <w:pPr>
        <w:tabs>
          <w:tab w:val="left" w:pos="6562"/>
        </w:tabs>
        <w:rPr>
          <w:rFonts w:eastAsiaTheme="minorEastAsia"/>
        </w:rPr>
      </w:pPr>
    </w:p>
    <w:p w14:paraId="5DBFF43C" w14:textId="77777777" w:rsidR="00DF6CB2" w:rsidRDefault="00DF6CB2" w:rsidP="00DF6CB2">
      <w:pPr>
        <w:tabs>
          <w:tab w:val="left" w:pos="6562"/>
        </w:tabs>
        <w:rPr>
          <w:rFonts w:eastAsiaTheme="minorEastAsia"/>
        </w:rPr>
      </w:pPr>
    </w:p>
    <w:p w14:paraId="28098CCC" w14:textId="77777777" w:rsidR="00DF6CB2" w:rsidRDefault="00DF6CB2" w:rsidP="00DF6CB2">
      <w:pPr>
        <w:tabs>
          <w:tab w:val="left" w:pos="6562"/>
        </w:tabs>
        <w:rPr>
          <w:rFonts w:eastAsiaTheme="minorEastAsia"/>
        </w:rPr>
      </w:pPr>
    </w:p>
    <w:p w14:paraId="116B3046" w14:textId="77777777" w:rsidR="00DF6CB2" w:rsidRDefault="00DF6CB2" w:rsidP="00DF6CB2">
      <w:pPr>
        <w:tabs>
          <w:tab w:val="left" w:pos="6562"/>
        </w:tabs>
        <w:rPr>
          <w:rFonts w:eastAsiaTheme="minorEastAsia"/>
        </w:rPr>
      </w:pPr>
    </w:p>
    <w:p w14:paraId="5827AFD1" w14:textId="77777777" w:rsidR="00DF6CB2" w:rsidRDefault="00DF6CB2" w:rsidP="00DF6CB2">
      <w:pPr>
        <w:tabs>
          <w:tab w:val="left" w:pos="6562"/>
        </w:tabs>
        <w:rPr>
          <w:rFonts w:eastAsiaTheme="minorEastAsia"/>
        </w:rPr>
      </w:pPr>
    </w:p>
    <w:p w14:paraId="0590BC39" w14:textId="77777777" w:rsidR="00DF6CB2" w:rsidRDefault="00DF6CB2" w:rsidP="00DF6CB2">
      <w:pPr>
        <w:tabs>
          <w:tab w:val="left" w:pos="6562"/>
        </w:tabs>
        <w:rPr>
          <w:rFonts w:eastAsiaTheme="minorEastAsia"/>
        </w:rPr>
      </w:pPr>
    </w:p>
    <w:p w14:paraId="1C917B46" w14:textId="77777777" w:rsidR="00DF6CB2" w:rsidRDefault="00DF6CB2" w:rsidP="00DF6CB2">
      <w:pPr>
        <w:tabs>
          <w:tab w:val="left" w:pos="6562"/>
        </w:tabs>
        <w:rPr>
          <w:rFonts w:eastAsiaTheme="minorEastAsia"/>
        </w:rPr>
      </w:pPr>
    </w:p>
    <w:p w14:paraId="1432F87C" w14:textId="53E2998B" w:rsidR="00DF6CB2" w:rsidRDefault="00DF6CB2" w:rsidP="00DF6CB2">
      <w:pPr>
        <w:tabs>
          <w:tab w:val="left" w:pos="6562"/>
        </w:tabs>
        <w:rPr>
          <w:rFonts w:eastAsiaTheme="minorEastAsia"/>
        </w:rPr>
      </w:pPr>
    </w:p>
    <w:p w14:paraId="3729546B" w14:textId="47986E6D" w:rsidR="00C659A8" w:rsidRDefault="00C659A8" w:rsidP="00DF6CB2">
      <w:pPr>
        <w:tabs>
          <w:tab w:val="left" w:pos="6562"/>
        </w:tabs>
        <w:rPr>
          <w:rFonts w:eastAsiaTheme="minorEastAsia"/>
        </w:rPr>
      </w:pPr>
    </w:p>
    <w:p w14:paraId="3DD13878" w14:textId="77777777" w:rsidR="00C659A8" w:rsidRDefault="00C659A8" w:rsidP="00DF6CB2">
      <w:pPr>
        <w:tabs>
          <w:tab w:val="left" w:pos="6562"/>
        </w:tabs>
        <w:rPr>
          <w:rFonts w:eastAsiaTheme="minorEastAsia"/>
        </w:rPr>
      </w:pPr>
    </w:p>
    <w:p w14:paraId="45077B23" w14:textId="4DD271BD" w:rsidR="00DF6CB2" w:rsidRDefault="00DF6CB2" w:rsidP="00DF6CB2">
      <w:pPr>
        <w:pStyle w:val="Heading1"/>
        <w:rPr>
          <w:rFonts w:eastAsiaTheme="minorEastAsia"/>
        </w:rPr>
      </w:pPr>
      <w:bookmarkStart w:id="5" w:name="_Toc121096862"/>
      <w:r>
        <w:rPr>
          <w:rFonts w:eastAsiaTheme="minorEastAsia"/>
        </w:rPr>
        <w:lastRenderedPageBreak/>
        <w:t>Cost of Goods Sold</w:t>
      </w:r>
      <w:bookmarkEnd w:id="5"/>
      <w:r>
        <w:rPr>
          <w:rFonts w:eastAsiaTheme="minorEastAsia"/>
        </w:rPr>
        <w:t xml:space="preserve"> </w:t>
      </w:r>
    </w:p>
    <w:p w14:paraId="4B0BD065" w14:textId="77777777" w:rsidR="00DF6CB2" w:rsidRDefault="00DF6CB2" w:rsidP="00DF6CB2"/>
    <w:p w14:paraId="1F469500" w14:textId="77777777" w:rsidR="00DF6CB2" w:rsidRDefault="00DF6CB2" w:rsidP="00DF6CB2">
      <w:r>
        <w:t xml:space="preserve">As mentioned before, COGS in the industry is actually closer tied to the size of the company fleet as opposed to the generation of revenue. This is because spot prices in market may change but COGS is less versatile. </w:t>
      </w:r>
    </w:p>
    <w:p w14:paraId="71CEE076" w14:textId="2B13DB6E" w:rsidR="00DF6CB2" w:rsidRDefault="00DF6CB2" w:rsidP="00DF6CB2">
      <w:r>
        <w:rPr>
          <w:noProof/>
        </w:rPr>
        <w:drawing>
          <wp:anchor distT="0" distB="0" distL="114300" distR="114300" simplePos="0" relativeHeight="251687936" behindDoc="1" locked="0" layoutInCell="1" allowOverlap="1" wp14:anchorId="7431F408" wp14:editId="35EC31FD">
            <wp:simplePos x="0" y="0"/>
            <wp:positionH relativeFrom="column">
              <wp:posOffset>850900</wp:posOffset>
            </wp:positionH>
            <wp:positionV relativeFrom="paragraph">
              <wp:posOffset>151765</wp:posOffset>
            </wp:positionV>
            <wp:extent cx="3916680" cy="2186940"/>
            <wp:effectExtent l="0" t="0" r="7620" b="3810"/>
            <wp:wrapNone/>
            <wp:docPr id="6" name="Chart 6">
              <a:extLst xmlns:a="http://schemas.openxmlformats.org/drawingml/2006/main">
                <a:ext uri="{FF2B5EF4-FFF2-40B4-BE49-F238E27FC236}">
                  <a16:creationId xmlns:a16="http://schemas.microsoft.com/office/drawing/2014/main" id="{5E9CAE06-A503-56C0-D4DB-D8A70E479A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p>
    <w:p w14:paraId="2886094D" w14:textId="4D1715AF" w:rsidR="00DF6CB2" w:rsidRDefault="00DF6CB2" w:rsidP="00DF6CB2"/>
    <w:p w14:paraId="391FA152" w14:textId="77777777" w:rsidR="00DF6CB2" w:rsidRDefault="00DF6CB2" w:rsidP="00DF6CB2"/>
    <w:p w14:paraId="0D7C922C" w14:textId="764AB522" w:rsidR="00DF6CB2" w:rsidRPr="00F126BE" w:rsidRDefault="00DF6CB2" w:rsidP="00DF6CB2"/>
    <w:p w14:paraId="7F004B1E" w14:textId="77777777" w:rsidR="00DF6CB2" w:rsidRDefault="00DF6CB2" w:rsidP="00DF6CB2">
      <w:pPr>
        <w:tabs>
          <w:tab w:val="left" w:pos="6562"/>
        </w:tabs>
        <w:rPr>
          <w:rFonts w:eastAsiaTheme="minorEastAsia"/>
        </w:rPr>
      </w:pPr>
    </w:p>
    <w:p w14:paraId="494EB363" w14:textId="77777777" w:rsidR="00DF6CB2" w:rsidRDefault="00DF6CB2" w:rsidP="00DF6CB2">
      <w:pPr>
        <w:tabs>
          <w:tab w:val="left" w:pos="6562"/>
        </w:tabs>
        <w:rPr>
          <w:rFonts w:eastAsiaTheme="minorEastAsia"/>
        </w:rPr>
      </w:pPr>
    </w:p>
    <w:p w14:paraId="6B44AF9C" w14:textId="19E7A4E3" w:rsidR="00DF6CB2" w:rsidRDefault="00DF6CB2" w:rsidP="00DF6CB2">
      <w:pPr>
        <w:tabs>
          <w:tab w:val="left" w:pos="6562"/>
        </w:tabs>
        <w:rPr>
          <w:rFonts w:eastAsiaTheme="minorEastAsia"/>
        </w:rPr>
      </w:pPr>
    </w:p>
    <w:p w14:paraId="66AD69AF" w14:textId="25BC5AE2" w:rsidR="00B76B50" w:rsidRDefault="00B76B50" w:rsidP="00DF6CB2">
      <w:pPr>
        <w:tabs>
          <w:tab w:val="left" w:pos="6562"/>
        </w:tabs>
        <w:rPr>
          <w:rFonts w:eastAsiaTheme="minorEastAsia"/>
        </w:rPr>
      </w:pPr>
    </w:p>
    <w:p w14:paraId="45F750B1" w14:textId="3BDF5FCE" w:rsidR="00B76B50" w:rsidRDefault="00B76B50" w:rsidP="00DF6CB2">
      <w:pPr>
        <w:tabs>
          <w:tab w:val="left" w:pos="6562"/>
        </w:tabs>
        <w:rPr>
          <w:rFonts w:eastAsiaTheme="minorEastAsia"/>
        </w:rPr>
      </w:pPr>
    </w:p>
    <w:p w14:paraId="036B42F2" w14:textId="44F400FA" w:rsidR="00B76B50" w:rsidRDefault="00B76B50" w:rsidP="00DF6CB2">
      <w:pPr>
        <w:tabs>
          <w:tab w:val="left" w:pos="6562"/>
        </w:tabs>
        <w:rPr>
          <w:rFonts w:eastAsiaTheme="minorEastAsia"/>
        </w:rPr>
      </w:pPr>
    </w:p>
    <w:p w14:paraId="5FD64019" w14:textId="3965F1A6" w:rsidR="00B76B50" w:rsidRDefault="00B76B50" w:rsidP="00DF6CB2">
      <w:pPr>
        <w:tabs>
          <w:tab w:val="left" w:pos="6562"/>
        </w:tabs>
        <w:rPr>
          <w:rFonts w:eastAsiaTheme="minorEastAsia"/>
        </w:rPr>
      </w:pPr>
    </w:p>
    <w:p w14:paraId="16F43CBB" w14:textId="32CA9A17" w:rsidR="00B76B50" w:rsidRDefault="00B76B50" w:rsidP="00DF6CB2">
      <w:pPr>
        <w:tabs>
          <w:tab w:val="left" w:pos="6562"/>
        </w:tabs>
        <w:rPr>
          <w:rFonts w:eastAsiaTheme="minorEastAsia"/>
        </w:rPr>
      </w:pPr>
    </w:p>
    <w:p w14:paraId="21863B20" w14:textId="77777777" w:rsidR="00B76B50" w:rsidRDefault="00B76B50" w:rsidP="00DF6CB2">
      <w:pPr>
        <w:tabs>
          <w:tab w:val="left" w:pos="6562"/>
        </w:tabs>
        <w:rPr>
          <w:rFonts w:eastAsiaTheme="minorEastAsia"/>
        </w:rPr>
      </w:pPr>
    </w:p>
    <w:p w14:paraId="4511DAEC" w14:textId="77777777" w:rsidR="00DF6CB2" w:rsidRDefault="00DF6CB2" w:rsidP="00DF6CB2">
      <w:pPr>
        <w:tabs>
          <w:tab w:val="left" w:pos="6562"/>
        </w:tabs>
        <w:rPr>
          <w:rFonts w:eastAsiaTheme="minorEastAsia"/>
        </w:rPr>
      </w:pPr>
    </w:p>
    <w:p w14:paraId="38BDB42D" w14:textId="77777777" w:rsidR="00DF6CB2" w:rsidRDefault="00DF6CB2" w:rsidP="00DF6CB2">
      <w:pPr>
        <w:tabs>
          <w:tab w:val="left" w:pos="6562"/>
        </w:tabs>
        <w:rPr>
          <w:rFonts w:eastAsiaTheme="minorEastAsia"/>
        </w:rPr>
      </w:pPr>
      <w:r>
        <w:rPr>
          <w:rFonts w:eastAsiaTheme="minorEastAsia"/>
        </w:rPr>
        <w:t>Unusually, the company has kept COGS per ship relatively constant in comparison to competitors who have seen a steady increase in input costs. Typically, COGS is a function of fuel costs, port charges, storage costs and crewing costs. However, running regressions of changes in COGS on changes in any index/value for these factors resulted in very poor r-squares (1% - 2%).</w:t>
      </w:r>
    </w:p>
    <w:p w14:paraId="60B6063A" w14:textId="77777777" w:rsidR="00DF6CB2" w:rsidRDefault="00DF6CB2" w:rsidP="00DF6CB2">
      <w:pPr>
        <w:tabs>
          <w:tab w:val="left" w:pos="6562"/>
        </w:tabs>
        <w:rPr>
          <w:rFonts w:eastAsiaTheme="minorEastAsia"/>
        </w:rPr>
      </w:pPr>
    </w:p>
    <w:p w14:paraId="4219BDC8" w14:textId="46E958A0" w:rsidR="00DF6CB2" w:rsidRDefault="00DF6CB2" w:rsidP="00DF6CB2">
      <w:pPr>
        <w:tabs>
          <w:tab w:val="left" w:pos="6562"/>
        </w:tabs>
        <w:rPr>
          <w:rFonts w:eastAsiaTheme="minorEastAsia"/>
        </w:rPr>
      </w:pPr>
      <w:r>
        <w:rPr>
          <w:rFonts w:eastAsiaTheme="minorEastAsia"/>
        </w:rPr>
        <w:t xml:space="preserve">Upon inspection of the notes of the financial statements it became clear that the company </w:t>
      </w:r>
      <w:r w:rsidR="006C6A7E">
        <w:rPr>
          <w:rFonts w:eastAsiaTheme="minorEastAsia"/>
        </w:rPr>
        <w:t>operate</w:t>
      </w:r>
      <w:r>
        <w:rPr>
          <w:rFonts w:eastAsiaTheme="minorEastAsia"/>
        </w:rPr>
        <w:t xml:space="preserve"> in bareboat chartering. This is a form of contract where the lessor must fuel, crew and run the ship operationally. Diana Shipping for most of their operations, just provide the ships. It is for this reason that we believe COGS of the company has remained low. However, they have foregone some revenue in exchange for this luxury. </w:t>
      </w:r>
    </w:p>
    <w:p w14:paraId="70926BE8" w14:textId="77777777" w:rsidR="00DF6CB2" w:rsidRDefault="00DF6CB2" w:rsidP="00DF6CB2">
      <w:pPr>
        <w:tabs>
          <w:tab w:val="left" w:pos="6562"/>
        </w:tabs>
        <w:rPr>
          <w:rFonts w:eastAsiaTheme="minorEastAsia"/>
        </w:rPr>
      </w:pPr>
    </w:p>
    <w:p w14:paraId="3C42A3B5" w14:textId="77777777" w:rsidR="00DF6CB2" w:rsidRDefault="00DF6CB2" w:rsidP="00DF6CB2">
      <w:pPr>
        <w:tabs>
          <w:tab w:val="left" w:pos="6562"/>
        </w:tabs>
        <w:rPr>
          <w:rFonts w:eastAsiaTheme="minorEastAsia"/>
        </w:rPr>
      </w:pPr>
      <w:r>
        <w:rPr>
          <w:rFonts w:eastAsiaTheme="minorEastAsia"/>
        </w:rPr>
        <w:t>Forecasting this meant looking at the average COGS per ship, adjusting for inflation and multiplying it by the expected fleet size YoY.</w:t>
      </w:r>
    </w:p>
    <w:p w14:paraId="74A085A1" w14:textId="31059E2F" w:rsidR="00DF6CB2" w:rsidRDefault="00C659A8" w:rsidP="00DF6CB2">
      <w:pPr>
        <w:tabs>
          <w:tab w:val="left" w:pos="6562"/>
        </w:tabs>
        <w:rPr>
          <w:rFonts w:eastAsiaTheme="minorEastAsia"/>
        </w:rPr>
      </w:pPr>
      <w:r>
        <w:rPr>
          <w:noProof/>
        </w:rPr>
        <w:drawing>
          <wp:anchor distT="0" distB="0" distL="114300" distR="114300" simplePos="0" relativeHeight="251688960" behindDoc="1" locked="0" layoutInCell="1" allowOverlap="1" wp14:anchorId="3458D136" wp14:editId="6E6D3707">
            <wp:simplePos x="0" y="0"/>
            <wp:positionH relativeFrom="column">
              <wp:posOffset>531586</wp:posOffset>
            </wp:positionH>
            <wp:positionV relativeFrom="paragraph">
              <wp:posOffset>49517</wp:posOffset>
            </wp:positionV>
            <wp:extent cx="4625573" cy="2667480"/>
            <wp:effectExtent l="0" t="0" r="10160" b="12700"/>
            <wp:wrapNone/>
            <wp:docPr id="7" name="Chart 7">
              <a:extLst xmlns:a="http://schemas.openxmlformats.org/drawingml/2006/main">
                <a:ext uri="{FF2B5EF4-FFF2-40B4-BE49-F238E27FC236}">
                  <a16:creationId xmlns:a16="http://schemas.microsoft.com/office/drawing/2014/main" id="{B57E237D-52E1-A635-59D0-97CF8CE334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page">
              <wp14:pctWidth>0</wp14:pctWidth>
            </wp14:sizeRelH>
            <wp14:sizeRelV relativeFrom="page">
              <wp14:pctHeight>0</wp14:pctHeight>
            </wp14:sizeRelV>
          </wp:anchor>
        </w:drawing>
      </w:r>
    </w:p>
    <w:p w14:paraId="4D3361A8" w14:textId="73366F27" w:rsidR="00DF6CB2" w:rsidRDefault="00DF6CB2" w:rsidP="00DF6CB2">
      <w:pPr>
        <w:tabs>
          <w:tab w:val="left" w:pos="6562"/>
        </w:tabs>
        <w:rPr>
          <w:rFonts w:eastAsiaTheme="minorEastAsia"/>
        </w:rPr>
      </w:pPr>
    </w:p>
    <w:p w14:paraId="473640B9" w14:textId="20066962" w:rsidR="00DF6CB2" w:rsidRDefault="00DF6CB2" w:rsidP="00DF6CB2">
      <w:pPr>
        <w:tabs>
          <w:tab w:val="left" w:pos="6562"/>
        </w:tabs>
        <w:rPr>
          <w:rFonts w:eastAsiaTheme="minorEastAsia"/>
        </w:rPr>
      </w:pPr>
    </w:p>
    <w:p w14:paraId="075DD91E" w14:textId="77777777" w:rsidR="00DF6CB2" w:rsidRDefault="00DF6CB2" w:rsidP="00DF6CB2">
      <w:pPr>
        <w:tabs>
          <w:tab w:val="left" w:pos="6562"/>
        </w:tabs>
        <w:rPr>
          <w:rFonts w:eastAsiaTheme="minorEastAsia"/>
        </w:rPr>
      </w:pPr>
    </w:p>
    <w:p w14:paraId="365F1A8F" w14:textId="188CED21" w:rsidR="00DF6CB2" w:rsidRDefault="00DF6CB2" w:rsidP="00DF6CB2">
      <w:pPr>
        <w:tabs>
          <w:tab w:val="left" w:pos="6562"/>
        </w:tabs>
        <w:rPr>
          <w:rFonts w:eastAsiaTheme="minorEastAsia"/>
        </w:rPr>
      </w:pPr>
    </w:p>
    <w:p w14:paraId="798A9E70" w14:textId="77777777" w:rsidR="00DF6CB2" w:rsidRDefault="00DF6CB2" w:rsidP="00DF6CB2">
      <w:pPr>
        <w:tabs>
          <w:tab w:val="left" w:pos="6562"/>
        </w:tabs>
        <w:rPr>
          <w:rFonts w:eastAsiaTheme="minorEastAsia"/>
        </w:rPr>
      </w:pPr>
    </w:p>
    <w:p w14:paraId="55ED1B42" w14:textId="77777777" w:rsidR="00DF6CB2" w:rsidRDefault="00DF6CB2" w:rsidP="00DF6CB2">
      <w:pPr>
        <w:tabs>
          <w:tab w:val="left" w:pos="6562"/>
        </w:tabs>
        <w:rPr>
          <w:rFonts w:eastAsiaTheme="minorEastAsia"/>
        </w:rPr>
      </w:pPr>
    </w:p>
    <w:p w14:paraId="043B9476" w14:textId="77777777" w:rsidR="00DF6CB2" w:rsidRDefault="00DF6CB2" w:rsidP="00DF6CB2">
      <w:pPr>
        <w:tabs>
          <w:tab w:val="left" w:pos="6562"/>
        </w:tabs>
        <w:rPr>
          <w:rFonts w:eastAsiaTheme="minorEastAsia"/>
        </w:rPr>
      </w:pPr>
    </w:p>
    <w:p w14:paraId="7CBB3267" w14:textId="77777777" w:rsidR="00DF6CB2" w:rsidRDefault="00DF6CB2" w:rsidP="00DF6CB2">
      <w:pPr>
        <w:tabs>
          <w:tab w:val="left" w:pos="6562"/>
        </w:tabs>
        <w:rPr>
          <w:rFonts w:eastAsiaTheme="minorEastAsia"/>
        </w:rPr>
      </w:pPr>
    </w:p>
    <w:p w14:paraId="34899AD2" w14:textId="77777777" w:rsidR="00DF6CB2" w:rsidRDefault="00DF6CB2" w:rsidP="00DF6CB2">
      <w:pPr>
        <w:tabs>
          <w:tab w:val="left" w:pos="6562"/>
        </w:tabs>
        <w:rPr>
          <w:rFonts w:eastAsiaTheme="minorEastAsia"/>
        </w:rPr>
      </w:pPr>
    </w:p>
    <w:p w14:paraId="1E053871" w14:textId="77777777" w:rsidR="00DF6CB2" w:rsidRDefault="00DF6CB2" w:rsidP="00DF6CB2">
      <w:pPr>
        <w:tabs>
          <w:tab w:val="left" w:pos="6562"/>
        </w:tabs>
        <w:rPr>
          <w:rFonts w:eastAsiaTheme="minorEastAsia"/>
        </w:rPr>
      </w:pPr>
    </w:p>
    <w:p w14:paraId="49530BD6" w14:textId="77777777" w:rsidR="00DF6CB2" w:rsidRDefault="00DF6CB2" w:rsidP="00DF6CB2">
      <w:pPr>
        <w:tabs>
          <w:tab w:val="left" w:pos="6562"/>
        </w:tabs>
        <w:rPr>
          <w:rFonts w:eastAsiaTheme="minorEastAsia"/>
        </w:rPr>
      </w:pPr>
    </w:p>
    <w:p w14:paraId="7C5E969F" w14:textId="77777777" w:rsidR="00DF6CB2" w:rsidRDefault="00DF6CB2" w:rsidP="00DF6CB2">
      <w:pPr>
        <w:tabs>
          <w:tab w:val="left" w:pos="6562"/>
        </w:tabs>
        <w:rPr>
          <w:rFonts w:eastAsiaTheme="minorEastAsia"/>
        </w:rPr>
      </w:pPr>
    </w:p>
    <w:p w14:paraId="53C5526A" w14:textId="77777777" w:rsidR="00DF6CB2" w:rsidRDefault="00DF6CB2" w:rsidP="00DF6CB2">
      <w:pPr>
        <w:pStyle w:val="Heading1"/>
        <w:rPr>
          <w:rFonts w:eastAsiaTheme="minorEastAsia"/>
        </w:rPr>
      </w:pPr>
      <w:bookmarkStart w:id="6" w:name="_Toc121096863"/>
      <w:r>
        <w:rPr>
          <w:rFonts w:eastAsiaTheme="minorEastAsia"/>
        </w:rPr>
        <w:lastRenderedPageBreak/>
        <w:t>Selling, General &amp; Admin Expenses</w:t>
      </w:r>
      <w:bookmarkEnd w:id="6"/>
    </w:p>
    <w:p w14:paraId="53F781B3" w14:textId="77777777" w:rsidR="00DF6CB2" w:rsidRDefault="00DF6CB2" w:rsidP="00DF6CB2"/>
    <w:p w14:paraId="59379E05" w14:textId="77777777" w:rsidR="00DF6CB2" w:rsidRDefault="00DF6CB2" w:rsidP="00DF6CB2">
      <w:r>
        <w:t xml:space="preserve">This figure accounts for a relatively small portion of the company expenses. Their major costs are depreciation of their fleet and the cost of goods sold of the same fleet. </w:t>
      </w:r>
    </w:p>
    <w:p w14:paraId="45B61888" w14:textId="77777777" w:rsidR="00DF6CB2" w:rsidRDefault="00DF6CB2" w:rsidP="00DF6CB2">
      <w:r>
        <w:t xml:space="preserve">Diana SC had a 10 year CAGR of 3.5%. Most of this growth reflects inflation with excess growth indirectly influenced by fleet growth.  Given the small and relatively constant nature of the expense, it was projected forward using the same growth rate. </w:t>
      </w:r>
    </w:p>
    <w:p w14:paraId="75D7F6C4" w14:textId="59BED880" w:rsidR="00DF6CB2" w:rsidRDefault="00390B23" w:rsidP="00DF6CB2">
      <w:r>
        <w:rPr>
          <w:noProof/>
        </w:rPr>
        <w:drawing>
          <wp:anchor distT="0" distB="0" distL="114300" distR="114300" simplePos="0" relativeHeight="251703296" behindDoc="1" locked="0" layoutInCell="1" allowOverlap="1" wp14:anchorId="660DDB18" wp14:editId="5BA2FF8F">
            <wp:simplePos x="0" y="0"/>
            <wp:positionH relativeFrom="column">
              <wp:posOffset>403860</wp:posOffset>
            </wp:positionH>
            <wp:positionV relativeFrom="paragraph">
              <wp:posOffset>189230</wp:posOffset>
            </wp:positionV>
            <wp:extent cx="4572000" cy="2743200"/>
            <wp:effectExtent l="0" t="0" r="12700" b="12700"/>
            <wp:wrapNone/>
            <wp:docPr id="14" name="Chart 14">
              <a:extLst xmlns:a="http://schemas.openxmlformats.org/drawingml/2006/main">
                <a:ext uri="{FF2B5EF4-FFF2-40B4-BE49-F238E27FC236}">
                  <a16:creationId xmlns:a16="http://schemas.microsoft.com/office/drawing/2014/main" id="{5A39BBD1-2DA9-2A89-2BE8-CD8C335208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page">
              <wp14:pctWidth>0</wp14:pctWidth>
            </wp14:sizeRelH>
            <wp14:sizeRelV relativeFrom="page">
              <wp14:pctHeight>0</wp14:pctHeight>
            </wp14:sizeRelV>
          </wp:anchor>
        </w:drawing>
      </w:r>
    </w:p>
    <w:p w14:paraId="7922A37A" w14:textId="1AB2D5C0" w:rsidR="00DF6CB2" w:rsidRDefault="00DF6CB2" w:rsidP="00DF6CB2"/>
    <w:p w14:paraId="40E67D46" w14:textId="27D68BFF" w:rsidR="00DF6CB2" w:rsidRDefault="00DF6CB2" w:rsidP="00DF6CB2"/>
    <w:p w14:paraId="6560CD4E" w14:textId="7FC585C6" w:rsidR="00DF6CB2" w:rsidRDefault="00DF6CB2" w:rsidP="00DF6CB2"/>
    <w:p w14:paraId="4DB1123C" w14:textId="40CDCB53" w:rsidR="00DF6CB2" w:rsidRDefault="00DF6CB2" w:rsidP="00DF6CB2"/>
    <w:p w14:paraId="1D156D07" w14:textId="78F2F660" w:rsidR="00DF6CB2" w:rsidRDefault="00DF6CB2" w:rsidP="00DF6CB2"/>
    <w:p w14:paraId="5A04683A" w14:textId="77777777" w:rsidR="00DF6CB2" w:rsidRDefault="00DF6CB2" w:rsidP="00DF6CB2"/>
    <w:p w14:paraId="761F6C3B" w14:textId="51B83EB1" w:rsidR="00DF6CB2" w:rsidRDefault="00DF6CB2" w:rsidP="00DF6CB2"/>
    <w:p w14:paraId="2E881A9B" w14:textId="309404C8" w:rsidR="00DF6CB2" w:rsidRDefault="00DF6CB2" w:rsidP="00DF6CB2"/>
    <w:p w14:paraId="367179DC" w14:textId="69C8450B" w:rsidR="00DF6CB2" w:rsidRDefault="00DF6CB2" w:rsidP="00DF6CB2"/>
    <w:p w14:paraId="3A5CC6B0" w14:textId="77777777" w:rsidR="00DF6CB2" w:rsidRDefault="00DF6CB2" w:rsidP="00DF6CB2"/>
    <w:p w14:paraId="143F18A5" w14:textId="27FA2777" w:rsidR="00DF6CB2" w:rsidRDefault="00DF6CB2" w:rsidP="00DF6CB2"/>
    <w:p w14:paraId="53A12916" w14:textId="12432890" w:rsidR="00DF6CB2" w:rsidRDefault="00DF6CB2" w:rsidP="00DF6CB2"/>
    <w:p w14:paraId="68B22534" w14:textId="24AB84A0" w:rsidR="00DF6CB2" w:rsidRDefault="00DF6CB2" w:rsidP="00DF6CB2"/>
    <w:p w14:paraId="154A3188" w14:textId="2DA2AAFE" w:rsidR="00DF6CB2" w:rsidRDefault="00DF6CB2" w:rsidP="00DF6CB2"/>
    <w:p w14:paraId="5A5AE8A0" w14:textId="38863A01" w:rsidR="00DF6CB2" w:rsidRDefault="00DF6CB2" w:rsidP="00DF6CB2"/>
    <w:p w14:paraId="6C9B2122" w14:textId="02837482" w:rsidR="00DF6CB2" w:rsidRDefault="00DF6CB2" w:rsidP="00390B23"/>
    <w:p w14:paraId="39992836" w14:textId="38CC7E22" w:rsidR="00390B23" w:rsidRDefault="00390B23" w:rsidP="00390B23">
      <w:r>
        <w:t xml:space="preserve">As indicated by the above graph, it isn’t correct to reflect SG&amp;A as a percentage of revenue like would be the norm in other industries. The reason for this again is because there is a poor R^2 for the effect revenue has on SG&amp;A. This is because SG&amp;A can be seen to be fairly consistent regardless of the market prices achievable at a point in time.  </w:t>
      </w:r>
      <w:bookmarkStart w:id="7" w:name="_Toc121096864"/>
    </w:p>
    <w:p w14:paraId="2EBBCC89" w14:textId="785CEBF3" w:rsidR="00390B23" w:rsidRDefault="00390B23" w:rsidP="00DF6CB2">
      <w:pPr>
        <w:pStyle w:val="Heading1"/>
      </w:pPr>
      <w:r>
        <w:rPr>
          <w:noProof/>
        </w:rPr>
        <w:drawing>
          <wp:anchor distT="0" distB="0" distL="114300" distR="114300" simplePos="0" relativeHeight="251702272" behindDoc="1" locked="0" layoutInCell="1" allowOverlap="1" wp14:anchorId="149FC24D" wp14:editId="3758E252">
            <wp:simplePos x="0" y="0"/>
            <wp:positionH relativeFrom="column">
              <wp:posOffset>396950</wp:posOffset>
            </wp:positionH>
            <wp:positionV relativeFrom="paragraph">
              <wp:posOffset>157742</wp:posOffset>
            </wp:positionV>
            <wp:extent cx="4601980" cy="2689620"/>
            <wp:effectExtent l="0" t="0" r="8255" b="15875"/>
            <wp:wrapNone/>
            <wp:docPr id="13" name="Chart 13">
              <a:extLst xmlns:a="http://schemas.openxmlformats.org/drawingml/2006/main">
                <a:ext uri="{FF2B5EF4-FFF2-40B4-BE49-F238E27FC236}">
                  <a16:creationId xmlns:a16="http://schemas.microsoft.com/office/drawing/2014/main" id="{E844C03D-9BB9-D315-F83F-B49E7CED90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page">
              <wp14:pctWidth>0</wp14:pctWidth>
            </wp14:sizeRelH>
            <wp14:sizeRelV relativeFrom="page">
              <wp14:pctHeight>0</wp14:pctHeight>
            </wp14:sizeRelV>
          </wp:anchor>
        </w:drawing>
      </w:r>
    </w:p>
    <w:p w14:paraId="721EE4DB" w14:textId="2A05D777" w:rsidR="00390B23" w:rsidRDefault="00390B23" w:rsidP="00DF6CB2">
      <w:pPr>
        <w:pStyle w:val="Heading1"/>
      </w:pPr>
    </w:p>
    <w:p w14:paraId="4961DE81" w14:textId="5A6A5181" w:rsidR="00390B23" w:rsidRDefault="00390B23" w:rsidP="00DF6CB2">
      <w:pPr>
        <w:pStyle w:val="Heading1"/>
      </w:pPr>
    </w:p>
    <w:p w14:paraId="3E69A38E" w14:textId="1EC6428D" w:rsidR="00390B23" w:rsidRDefault="00390B23" w:rsidP="00DF6CB2">
      <w:pPr>
        <w:pStyle w:val="Heading1"/>
      </w:pPr>
    </w:p>
    <w:p w14:paraId="1F66E52A" w14:textId="77777777" w:rsidR="00390B23" w:rsidRDefault="00390B23" w:rsidP="00DF6CB2">
      <w:pPr>
        <w:pStyle w:val="Heading1"/>
      </w:pPr>
    </w:p>
    <w:p w14:paraId="33999A88" w14:textId="67EF47D1" w:rsidR="00390B23" w:rsidRDefault="00390B23" w:rsidP="00DF6CB2">
      <w:pPr>
        <w:pStyle w:val="Heading1"/>
      </w:pPr>
    </w:p>
    <w:p w14:paraId="61A30992" w14:textId="46B30E6A" w:rsidR="00390B23" w:rsidRDefault="00390B23" w:rsidP="00390B23"/>
    <w:p w14:paraId="5E3CD352" w14:textId="77777777" w:rsidR="00390B23" w:rsidRPr="00390B23" w:rsidRDefault="00390B23" w:rsidP="00390B23"/>
    <w:p w14:paraId="33FA69C9" w14:textId="28B9165E" w:rsidR="00390B23" w:rsidRDefault="00390B23" w:rsidP="00390B23"/>
    <w:p w14:paraId="5F9BDF86" w14:textId="77777777" w:rsidR="00390B23" w:rsidRPr="00390B23" w:rsidRDefault="00390B23" w:rsidP="00390B23"/>
    <w:p w14:paraId="113C956C" w14:textId="1C744577" w:rsidR="00DF6CB2" w:rsidRDefault="00DF6CB2" w:rsidP="00DF6CB2">
      <w:pPr>
        <w:pStyle w:val="Heading1"/>
      </w:pPr>
      <w:r>
        <w:lastRenderedPageBreak/>
        <w:t>Depreciation</w:t>
      </w:r>
      <w:bookmarkEnd w:id="7"/>
    </w:p>
    <w:p w14:paraId="5C3D1564" w14:textId="77777777" w:rsidR="00DF6CB2" w:rsidRDefault="00DF6CB2" w:rsidP="00DF6CB2"/>
    <w:p w14:paraId="2E6A9045" w14:textId="77777777" w:rsidR="00DF6CB2" w:rsidRDefault="00DF6CB2" w:rsidP="00DF6CB2">
      <w:r>
        <w:t xml:space="preserve">This expense is also a function of the fleet size. As the forecasted fleet increases, so will depreciation. Year-to-date rates are used to project the 2022 final figure. This value is adjusted YoY to reflect inflation of 2% and each individual YoY growth in fleet size. </w:t>
      </w:r>
    </w:p>
    <w:p w14:paraId="492D72F8" w14:textId="7F39BADD" w:rsidR="00DF6CB2" w:rsidRDefault="00C659A8" w:rsidP="00DF6CB2">
      <w:r>
        <w:rPr>
          <w:noProof/>
        </w:rPr>
        <w:drawing>
          <wp:anchor distT="0" distB="0" distL="114300" distR="114300" simplePos="0" relativeHeight="251691008" behindDoc="1" locked="0" layoutInCell="1" allowOverlap="1" wp14:anchorId="642B3560" wp14:editId="302B7360">
            <wp:simplePos x="0" y="0"/>
            <wp:positionH relativeFrom="margin">
              <wp:posOffset>82550</wp:posOffset>
            </wp:positionH>
            <wp:positionV relativeFrom="paragraph">
              <wp:posOffset>96209</wp:posOffset>
            </wp:positionV>
            <wp:extent cx="5226050" cy="2609850"/>
            <wp:effectExtent l="0" t="0" r="12700" b="0"/>
            <wp:wrapNone/>
            <wp:docPr id="9" name="Chart 9">
              <a:extLst xmlns:a="http://schemas.openxmlformats.org/drawingml/2006/main">
                <a:ext uri="{FF2B5EF4-FFF2-40B4-BE49-F238E27FC236}">
                  <a16:creationId xmlns:a16="http://schemas.microsoft.com/office/drawing/2014/main" id="{27F458B7-6AAE-4ECF-7619-19FCAC2D6B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page">
              <wp14:pctWidth>0</wp14:pctWidth>
            </wp14:sizeRelH>
            <wp14:sizeRelV relativeFrom="page">
              <wp14:pctHeight>0</wp14:pctHeight>
            </wp14:sizeRelV>
          </wp:anchor>
        </w:drawing>
      </w:r>
    </w:p>
    <w:p w14:paraId="6FA06E01" w14:textId="4818EC9A" w:rsidR="00DF6CB2" w:rsidRDefault="00DF6CB2" w:rsidP="00DF6CB2"/>
    <w:p w14:paraId="78A91B5D" w14:textId="2C4275F1" w:rsidR="00DF6CB2" w:rsidRDefault="00DF6CB2" w:rsidP="00DF6CB2"/>
    <w:p w14:paraId="0A8BBA7F" w14:textId="62ECC53B" w:rsidR="00DF6CB2" w:rsidRDefault="00DF6CB2" w:rsidP="00DF6CB2"/>
    <w:p w14:paraId="2D7E496B" w14:textId="16EA90BF" w:rsidR="00DF6CB2" w:rsidRPr="0015078C" w:rsidRDefault="00DF6CB2" w:rsidP="00DF6CB2"/>
    <w:p w14:paraId="60D358F3" w14:textId="342B2361" w:rsidR="00DF6CB2" w:rsidRDefault="00DF6CB2" w:rsidP="00DF6CB2"/>
    <w:p w14:paraId="27083C45" w14:textId="7A384F3D" w:rsidR="00DF6CB2" w:rsidRDefault="00DF6CB2" w:rsidP="00DF6CB2"/>
    <w:p w14:paraId="40C81AAB" w14:textId="264C4A57" w:rsidR="00DF6CB2" w:rsidRDefault="00DF6CB2" w:rsidP="00DF6CB2">
      <w:pPr>
        <w:pStyle w:val="Heading1"/>
      </w:pPr>
    </w:p>
    <w:p w14:paraId="57CCA872" w14:textId="77777777" w:rsidR="00B76B50" w:rsidRPr="00B76B50" w:rsidRDefault="00B76B50" w:rsidP="00B76B50"/>
    <w:p w14:paraId="01DBCA56" w14:textId="77777777" w:rsidR="00390B23" w:rsidRDefault="00390B23" w:rsidP="00DF6CB2">
      <w:pPr>
        <w:pStyle w:val="Heading1"/>
      </w:pPr>
      <w:bookmarkStart w:id="8" w:name="_Toc121096865"/>
    </w:p>
    <w:p w14:paraId="2E68C829" w14:textId="77777777" w:rsidR="00390B23" w:rsidRDefault="00390B23" w:rsidP="00DF6CB2">
      <w:pPr>
        <w:pStyle w:val="Heading1"/>
      </w:pPr>
    </w:p>
    <w:p w14:paraId="42691D3E" w14:textId="77777777" w:rsidR="00390B23" w:rsidRDefault="00390B23" w:rsidP="00DF6CB2">
      <w:pPr>
        <w:pStyle w:val="Heading1"/>
      </w:pPr>
    </w:p>
    <w:p w14:paraId="20DAAD15" w14:textId="04D38A31" w:rsidR="00DF6CB2" w:rsidRDefault="00DF6CB2" w:rsidP="00DF6CB2">
      <w:pPr>
        <w:pStyle w:val="Heading1"/>
      </w:pPr>
      <w:r>
        <w:t>Earnings Before Interest &amp; Taxes</w:t>
      </w:r>
      <w:bookmarkEnd w:id="8"/>
      <w:r>
        <w:t xml:space="preserve"> </w:t>
      </w:r>
    </w:p>
    <w:p w14:paraId="002EB4E2" w14:textId="77777777" w:rsidR="00DF6CB2" w:rsidRDefault="00DF6CB2" w:rsidP="00DF6CB2"/>
    <w:p w14:paraId="1ADDE2B3" w14:textId="77777777" w:rsidR="00DF6CB2" w:rsidRDefault="00DF6CB2" w:rsidP="00DF6CB2">
      <w:r>
        <w:t xml:space="preserve">EBIT represents the residual figure after all expenses have been accounted for. The EBIT forecast follows general economic outlook. This is expected given the industry. EBIT expects the 2022 and then taper off until 2025 when growth slowly resumes again. </w:t>
      </w:r>
    </w:p>
    <w:p w14:paraId="4D4EA107" w14:textId="55C0AFEB" w:rsidR="00DF6CB2" w:rsidRDefault="00C659A8" w:rsidP="00DF6CB2">
      <w:r>
        <w:rPr>
          <w:noProof/>
        </w:rPr>
        <w:drawing>
          <wp:anchor distT="0" distB="0" distL="114300" distR="114300" simplePos="0" relativeHeight="251692032" behindDoc="1" locked="0" layoutInCell="1" allowOverlap="1" wp14:anchorId="1ABCD0B5" wp14:editId="440F02FB">
            <wp:simplePos x="0" y="0"/>
            <wp:positionH relativeFrom="column">
              <wp:posOffset>503555</wp:posOffset>
            </wp:positionH>
            <wp:positionV relativeFrom="paragraph">
              <wp:posOffset>184150</wp:posOffset>
            </wp:positionV>
            <wp:extent cx="4525010" cy="2920365"/>
            <wp:effectExtent l="0" t="0" r="8890" b="13335"/>
            <wp:wrapNone/>
            <wp:docPr id="10" name="Chart 10">
              <a:extLst xmlns:a="http://schemas.openxmlformats.org/drawingml/2006/main">
                <a:ext uri="{FF2B5EF4-FFF2-40B4-BE49-F238E27FC236}">
                  <a16:creationId xmlns:a16="http://schemas.microsoft.com/office/drawing/2014/main" id="{E578CB35-2D01-D7FB-7317-6CD5D8879E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page">
              <wp14:pctWidth>0</wp14:pctWidth>
            </wp14:sizeRelH>
            <wp14:sizeRelV relativeFrom="page">
              <wp14:pctHeight>0</wp14:pctHeight>
            </wp14:sizeRelV>
          </wp:anchor>
        </w:drawing>
      </w:r>
    </w:p>
    <w:p w14:paraId="5C847404" w14:textId="7F2551D1" w:rsidR="00DF6CB2" w:rsidRPr="00896363" w:rsidRDefault="00DF6CB2" w:rsidP="00DF6CB2"/>
    <w:p w14:paraId="18A6E215" w14:textId="77777777" w:rsidR="00DF6CB2" w:rsidRPr="00D61AD0" w:rsidRDefault="00DF6CB2" w:rsidP="00D61AD0">
      <w:pPr>
        <w:rPr>
          <w:lang w:val="en-US"/>
        </w:rPr>
      </w:pPr>
    </w:p>
    <w:p w14:paraId="5547B08F" w14:textId="1FBCAA5A" w:rsidR="003858F9" w:rsidRDefault="003858F9" w:rsidP="00E050E3"/>
    <w:p w14:paraId="3E9BBAFB" w14:textId="7760F204" w:rsidR="003858F9" w:rsidRDefault="003858F9" w:rsidP="003858F9">
      <w:pPr>
        <w:ind w:firstLine="720"/>
      </w:pPr>
    </w:p>
    <w:p w14:paraId="5D31848E" w14:textId="4FB7143A" w:rsidR="003858F9" w:rsidRDefault="003858F9" w:rsidP="003858F9">
      <w:pPr>
        <w:ind w:firstLine="720"/>
      </w:pPr>
    </w:p>
    <w:p w14:paraId="3D8FCA57" w14:textId="50523A34" w:rsidR="003858F9" w:rsidRDefault="003858F9" w:rsidP="003858F9">
      <w:pPr>
        <w:ind w:firstLine="720"/>
      </w:pPr>
    </w:p>
    <w:p w14:paraId="7D8FCB7B" w14:textId="107E31C9" w:rsidR="003858F9" w:rsidRDefault="003858F9" w:rsidP="003858F9">
      <w:pPr>
        <w:ind w:firstLine="720"/>
      </w:pPr>
    </w:p>
    <w:p w14:paraId="5448A87C" w14:textId="02748D4B" w:rsidR="003858F9" w:rsidRDefault="003858F9" w:rsidP="003858F9">
      <w:pPr>
        <w:ind w:firstLine="720"/>
      </w:pPr>
    </w:p>
    <w:p w14:paraId="4C5D2D78" w14:textId="2DA6296B" w:rsidR="003858F9" w:rsidRDefault="003858F9" w:rsidP="003858F9">
      <w:pPr>
        <w:ind w:firstLine="720"/>
      </w:pPr>
    </w:p>
    <w:p w14:paraId="5A8FA9AA" w14:textId="546CB6A6" w:rsidR="003858F9" w:rsidRDefault="003858F9" w:rsidP="003858F9">
      <w:pPr>
        <w:ind w:firstLine="720"/>
      </w:pPr>
    </w:p>
    <w:p w14:paraId="69A7DA9D" w14:textId="677AB0D8" w:rsidR="003858F9" w:rsidRDefault="003858F9" w:rsidP="003858F9">
      <w:pPr>
        <w:ind w:firstLine="720"/>
      </w:pPr>
    </w:p>
    <w:p w14:paraId="68DF3950" w14:textId="56A6B303" w:rsidR="003858F9" w:rsidRDefault="003858F9" w:rsidP="003858F9">
      <w:pPr>
        <w:ind w:firstLine="720"/>
      </w:pPr>
    </w:p>
    <w:p w14:paraId="542E6B15" w14:textId="13CEDB2D" w:rsidR="003858F9" w:rsidRDefault="003858F9" w:rsidP="003858F9">
      <w:pPr>
        <w:ind w:firstLine="720"/>
      </w:pPr>
    </w:p>
    <w:p w14:paraId="01BAF8F6" w14:textId="7CED9DE6" w:rsidR="003858F9" w:rsidRDefault="003858F9" w:rsidP="003858F9">
      <w:pPr>
        <w:ind w:firstLine="720"/>
      </w:pPr>
    </w:p>
    <w:p w14:paraId="106CE5AC" w14:textId="266BE5F1" w:rsidR="00C659A8" w:rsidRPr="00C659A8" w:rsidRDefault="00DF6CB2">
      <w:r>
        <w:br w:type="page"/>
      </w:r>
    </w:p>
    <w:p w14:paraId="7B13E4AC" w14:textId="0CBC7A15" w:rsidR="003858F9" w:rsidRDefault="003858F9" w:rsidP="003858F9">
      <w:pPr>
        <w:pStyle w:val="Heading1"/>
      </w:pPr>
      <w:bookmarkStart w:id="9" w:name="_Toc121096866"/>
      <w:r>
        <w:lastRenderedPageBreak/>
        <w:t>Valuation &amp; Methodology</w:t>
      </w:r>
      <w:bookmarkEnd w:id="9"/>
      <w:r>
        <w:t xml:space="preserve"> </w:t>
      </w:r>
    </w:p>
    <w:p w14:paraId="7412F44D" w14:textId="1633159A" w:rsidR="003858F9" w:rsidRDefault="003858F9" w:rsidP="003858F9"/>
    <w:p w14:paraId="40D07083" w14:textId="6D66FFDF" w:rsidR="003858F9" w:rsidRDefault="003858F9" w:rsidP="003858F9">
      <w:pPr>
        <w:pStyle w:val="Heading2"/>
      </w:pPr>
      <w:bookmarkStart w:id="10" w:name="_Toc121096867"/>
      <w:r>
        <w:t>FCFF Calculation:</w:t>
      </w:r>
      <w:bookmarkEnd w:id="10"/>
    </w:p>
    <w:p w14:paraId="2372F471" w14:textId="0C185238" w:rsidR="003858F9" w:rsidRDefault="003858F9" w:rsidP="003858F9"/>
    <w:p w14:paraId="1C16E68B" w14:textId="22261F0E" w:rsidR="003858F9" w:rsidRDefault="003858F9" w:rsidP="003858F9">
      <w:r>
        <w:t xml:space="preserve">Free cash flow to the firm is considered a function of EBIT(1-t), CAPEX, depreciation and additions in net working capital (NWC). </w:t>
      </w:r>
    </w:p>
    <w:p w14:paraId="2B8229B7" w14:textId="5E99602D" w:rsidR="003858F9" w:rsidRDefault="003858F9" w:rsidP="003858F9"/>
    <w:p w14:paraId="3D0B8F0A" w14:textId="7A9FAFA6" w:rsidR="003858F9" w:rsidRDefault="003858F9" w:rsidP="003858F9">
      <w:pPr>
        <w:pStyle w:val="Heading2"/>
      </w:pPr>
      <w:bookmarkStart w:id="11" w:name="_Toc121096868"/>
      <w:r>
        <w:t>Taxation:</w:t>
      </w:r>
      <w:bookmarkEnd w:id="11"/>
      <w:r>
        <w:t xml:space="preserve"> </w:t>
      </w:r>
    </w:p>
    <w:p w14:paraId="5B22633F" w14:textId="5146501C" w:rsidR="003858F9" w:rsidRDefault="003858F9" w:rsidP="003858F9"/>
    <w:p w14:paraId="117C356A" w14:textId="1D9C756E" w:rsidR="003858F9" w:rsidRDefault="007F3429" w:rsidP="003858F9">
      <w:pPr>
        <w:jc w:val="both"/>
      </w:pPr>
      <w:r>
        <w:t>Diana</w:t>
      </w:r>
      <w:r w:rsidR="003858F9">
        <w:t xml:space="preserve"> </w:t>
      </w:r>
      <w:r w:rsidR="00E470DF">
        <w:t xml:space="preserve">Shipping Corporation </w:t>
      </w:r>
      <w:r w:rsidR="003858F9">
        <w:t xml:space="preserve">is incorporated in the </w:t>
      </w:r>
      <w:r w:rsidR="00B76B50">
        <w:t xml:space="preserve">The Marshall Islands and headquartered in Greece. </w:t>
      </w:r>
      <w:r w:rsidR="00E470DF">
        <w:t>Despite this, i</w:t>
      </w:r>
      <w:r w:rsidR="00B76B50">
        <w:t>t is quoted on the NYSE</w:t>
      </w:r>
      <w:r w:rsidR="003858F9">
        <w:t xml:space="preserve">. </w:t>
      </w:r>
      <w:r w:rsidR="00E470DF">
        <w:t xml:space="preserve">Due to the international nature of their business and the mobility of their assets (ships), we believe the </w:t>
      </w:r>
      <w:r w:rsidR="003858F9">
        <w:t>effective tax rate of 0%</w:t>
      </w:r>
      <w:r w:rsidR="00E470DF">
        <w:t xml:space="preserve"> will continue into perpetuity. </w:t>
      </w:r>
      <w:r w:rsidR="003858F9">
        <w:t xml:space="preserve">. </w:t>
      </w:r>
    </w:p>
    <w:p w14:paraId="19FCB313" w14:textId="0E6EA67D" w:rsidR="00B02976" w:rsidRDefault="00B02976" w:rsidP="003858F9">
      <w:pPr>
        <w:jc w:val="both"/>
      </w:pPr>
    </w:p>
    <w:p w14:paraId="45F5C0EF" w14:textId="3C06E7D8" w:rsidR="00B02976" w:rsidRDefault="00B02976" w:rsidP="00B02976">
      <w:pPr>
        <w:pStyle w:val="Heading2"/>
      </w:pPr>
      <w:bookmarkStart w:id="12" w:name="_Toc121096869"/>
      <w:r w:rsidRPr="00B02976">
        <w:t>Changes in NWC</w:t>
      </w:r>
      <w:r>
        <w:t>:</w:t>
      </w:r>
      <w:bookmarkEnd w:id="12"/>
    </w:p>
    <w:p w14:paraId="6FF92780" w14:textId="3074EF3E" w:rsidR="00B02976" w:rsidRDefault="00B02976" w:rsidP="00B02976"/>
    <w:p w14:paraId="110ADBA4" w14:textId="633DDFBC" w:rsidR="00B02976" w:rsidRDefault="004E249B" w:rsidP="00B02976">
      <w:r>
        <w:t>The changes in NWC tend to be negative when the charter rates go down. Given that the charter rates are decreasing from 2022 to 2024 and then slowly coming back, changes in NWC have been estimated using the similar historical situation from periods 2015-2017</w:t>
      </w:r>
      <w:r w:rsidR="00C659A8">
        <w:t>. W</w:t>
      </w:r>
      <w:r>
        <w:t xml:space="preserve">hen the charter rates were </w:t>
      </w:r>
      <w:r w:rsidR="00C659A8">
        <w:t>declining</w:t>
      </w:r>
      <w:r>
        <w:t xml:space="preserve"> for 2015 and 2016</w:t>
      </w:r>
      <w:r w:rsidR="00C659A8">
        <w:t xml:space="preserve">, additions to NWC were negative but once rates began to increase in 2017, the NWC additions became positive. We used a linear assumption modelled off these historical values to estimate how additions in NWC would occur in the forecasted period. As rates decline in 2023 and 2024 the value is negative but tending towards 0 because YoY declines were reducing. Once rates began to increase again according to forward assessments of the BSI, the additions to NWC returned to positive amounts. </w:t>
      </w:r>
    </w:p>
    <w:p w14:paraId="1D6258DB" w14:textId="0404A06A" w:rsidR="00325EE3" w:rsidRDefault="004E249B" w:rsidP="0080798B">
      <w:r>
        <w:t xml:space="preserve">The perpetual value is assumed to be positive as </w:t>
      </w:r>
      <w:r w:rsidR="00C659A8">
        <w:t>rates are assumed to in general grow into perpetuity. Also, if a company is to g</w:t>
      </w:r>
      <w:r w:rsidR="00404BA8">
        <w:t>row then there must be sufficient NWC to facilitate such growth. Therefore, in perpetuity we have taken assumption that such additions must take place.</w:t>
      </w:r>
    </w:p>
    <w:p w14:paraId="050F3820" w14:textId="77777777" w:rsidR="007B65C1" w:rsidRDefault="007B65C1" w:rsidP="003858F9">
      <w:pPr>
        <w:jc w:val="both"/>
      </w:pPr>
    </w:p>
    <w:tbl>
      <w:tblPr>
        <w:tblW w:w="10090" w:type="dxa"/>
        <w:tblInd w:w="-546" w:type="dxa"/>
        <w:tblLook w:val="04A0" w:firstRow="1" w:lastRow="0" w:firstColumn="1" w:lastColumn="0" w:noHBand="0" w:noVBand="1"/>
      </w:tblPr>
      <w:tblGrid>
        <w:gridCol w:w="1413"/>
        <w:gridCol w:w="1387"/>
        <w:gridCol w:w="1164"/>
        <w:gridCol w:w="1276"/>
        <w:gridCol w:w="1053"/>
        <w:gridCol w:w="1357"/>
        <w:gridCol w:w="1053"/>
        <w:gridCol w:w="1387"/>
      </w:tblGrid>
      <w:tr w:rsidR="007B65C1" w:rsidRPr="007B65C1" w14:paraId="7D7B834C" w14:textId="77777777" w:rsidTr="00FB1BA6">
        <w:trPr>
          <w:trHeight w:val="290"/>
        </w:trPr>
        <w:tc>
          <w:tcPr>
            <w:tcW w:w="1413" w:type="dxa"/>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29A60947" w14:textId="77777777" w:rsidR="007B65C1" w:rsidRPr="007B65C1" w:rsidRDefault="007B65C1" w:rsidP="007B65C1">
            <w:pPr>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Year</w:t>
            </w:r>
          </w:p>
        </w:tc>
        <w:tc>
          <w:tcPr>
            <w:tcW w:w="1387" w:type="dxa"/>
            <w:tcBorders>
              <w:top w:val="single" w:sz="4" w:space="0" w:color="auto"/>
              <w:left w:val="nil"/>
              <w:bottom w:val="single" w:sz="4" w:space="0" w:color="auto"/>
              <w:right w:val="single" w:sz="4" w:space="0" w:color="auto"/>
            </w:tcBorders>
            <w:shd w:val="clear" w:color="000000" w:fill="538DD5"/>
            <w:noWrap/>
            <w:vAlign w:val="bottom"/>
            <w:hideMark/>
          </w:tcPr>
          <w:p w14:paraId="61BEA3D6" w14:textId="77777777" w:rsidR="007B65C1" w:rsidRPr="007B65C1" w:rsidRDefault="007B65C1" w:rsidP="007B65C1">
            <w:pPr>
              <w:jc w:val="right"/>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2022</w:t>
            </w:r>
          </w:p>
        </w:tc>
        <w:tc>
          <w:tcPr>
            <w:tcW w:w="1164" w:type="dxa"/>
            <w:tcBorders>
              <w:top w:val="single" w:sz="4" w:space="0" w:color="auto"/>
              <w:left w:val="nil"/>
              <w:bottom w:val="single" w:sz="4" w:space="0" w:color="auto"/>
              <w:right w:val="single" w:sz="4" w:space="0" w:color="auto"/>
            </w:tcBorders>
            <w:shd w:val="clear" w:color="000000" w:fill="538DD5"/>
            <w:noWrap/>
            <w:vAlign w:val="bottom"/>
            <w:hideMark/>
          </w:tcPr>
          <w:p w14:paraId="69A027AD" w14:textId="77777777" w:rsidR="007B65C1" w:rsidRPr="007B65C1" w:rsidRDefault="007B65C1" w:rsidP="007B65C1">
            <w:pPr>
              <w:jc w:val="right"/>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2023</w:t>
            </w:r>
          </w:p>
        </w:tc>
        <w:tc>
          <w:tcPr>
            <w:tcW w:w="1276" w:type="dxa"/>
            <w:tcBorders>
              <w:top w:val="single" w:sz="4" w:space="0" w:color="auto"/>
              <w:left w:val="nil"/>
              <w:bottom w:val="single" w:sz="4" w:space="0" w:color="auto"/>
              <w:right w:val="single" w:sz="4" w:space="0" w:color="auto"/>
            </w:tcBorders>
            <w:shd w:val="clear" w:color="000000" w:fill="538DD5"/>
            <w:noWrap/>
            <w:vAlign w:val="bottom"/>
            <w:hideMark/>
          </w:tcPr>
          <w:p w14:paraId="401EF702" w14:textId="77777777" w:rsidR="007B65C1" w:rsidRPr="007B65C1" w:rsidRDefault="007B65C1" w:rsidP="007B65C1">
            <w:pPr>
              <w:jc w:val="right"/>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2024</w:t>
            </w:r>
          </w:p>
        </w:tc>
        <w:tc>
          <w:tcPr>
            <w:tcW w:w="1053" w:type="dxa"/>
            <w:tcBorders>
              <w:top w:val="single" w:sz="4" w:space="0" w:color="auto"/>
              <w:left w:val="nil"/>
              <w:bottom w:val="single" w:sz="4" w:space="0" w:color="auto"/>
              <w:right w:val="single" w:sz="4" w:space="0" w:color="auto"/>
            </w:tcBorders>
            <w:shd w:val="clear" w:color="000000" w:fill="538DD5"/>
            <w:noWrap/>
            <w:vAlign w:val="bottom"/>
            <w:hideMark/>
          </w:tcPr>
          <w:p w14:paraId="7EF6D56C" w14:textId="77777777" w:rsidR="007B65C1" w:rsidRPr="007B65C1" w:rsidRDefault="007B65C1" w:rsidP="007B65C1">
            <w:pPr>
              <w:jc w:val="right"/>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2025</w:t>
            </w:r>
          </w:p>
        </w:tc>
        <w:tc>
          <w:tcPr>
            <w:tcW w:w="1357" w:type="dxa"/>
            <w:tcBorders>
              <w:top w:val="single" w:sz="4" w:space="0" w:color="auto"/>
              <w:left w:val="nil"/>
              <w:bottom w:val="single" w:sz="4" w:space="0" w:color="auto"/>
              <w:right w:val="single" w:sz="4" w:space="0" w:color="auto"/>
            </w:tcBorders>
            <w:shd w:val="clear" w:color="000000" w:fill="538DD5"/>
            <w:noWrap/>
            <w:vAlign w:val="bottom"/>
            <w:hideMark/>
          </w:tcPr>
          <w:p w14:paraId="5E669E4C" w14:textId="77777777" w:rsidR="007B65C1" w:rsidRPr="007B65C1" w:rsidRDefault="007B65C1" w:rsidP="007B65C1">
            <w:pPr>
              <w:jc w:val="right"/>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2026</w:t>
            </w:r>
          </w:p>
        </w:tc>
        <w:tc>
          <w:tcPr>
            <w:tcW w:w="1053" w:type="dxa"/>
            <w:tcBorders>
              <w:top w:val="single" w:sz="4" w:space="0" w:color="auto"/>
              <w:left w:val="nil"/>
              <w:bottom w:val="single" w:sz="4" w:space="0" w:color="auto"/>
              <w:right w:val="single" w:sz="4" w:space="0" w:color="auto"/>
            </w:tcBorders>
            <w:shd w:val="clear" w:color="000000" w:fill="538DD5"/>
            <w:noWrap/>
            <w:vAlign w:val="bottom"/>
            <w:hideMark/>
          </w:tcPr>
          <w:p w14:paraId="21D3B270" w14:textId="77777777" w:rsidR="007B65C1" w:rsidRPr="007B65C1" w:rsidRDefault="007B65C1" w:rsidP="007B65C1">
            <w:pPr>
              <w:jc w:val="right"/>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2027</w:t>
            </w:r>
          </w:p>
        </w:tc>
        <w:tc>
          <w:tcPr>
            <w:tcW w:w="1387" w:type="dxa"/>
            <w:tcBorders>
              <w:top w:val="single" w:sz="4" w:space="0" w:color="auto"/>
              <w:left w:val="nil"/>
              <w:bottom w:val="single" w:sz="4" w:space="0" w:color="auto"/>
              <w:right w:val="single" w:sz="4" w:space="0" w:color="auto"/>
            </w:tcBorders>
            <w:shd w:val="clear" w:color="000000" w:fill="538DD5"/>
            <w:noWrap/>
            <w:vAlign w:val="bottom"/>
            <w:hideMark/>
          </w:tcPr>
          <w:p w14:paraId="51712A95" w14:textId="77777777" w:rsidR="007B65C1" w:rsidRPr="007B65C1" w:rsidRDefault="007B65C1" w:rsidP="007B65C1">
            <w:pPr>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Perpetuity</w:t>
            </w:r>
          </w:p>
        </w:tc>
      </w:tr>
      <w:tr w:rsidR="00DF6CB2" w:rsidRPr="007B65C1" w14:paraId="55ED99B5" w14:textId="77777777" w:rsidTr="00FB1BA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bottom"/>
          </w:tcPr>
          <w:p w14:paraId="0668ED67" w14:textId="503FDFE2" w:rsidR="00DF6CB2" w:rsidRPr="007B65C1" w:rsidRDefault="00DF6CB2" w:rsidP="007B65C1">
            <w:pPr>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EBIT</w:t>
            </w:r>
          </w:p>
        </w:tc>
        <w:tc>
          <w:tcPr>
            <w:tcW w:w="1387" w:type="dxa"/>
            <w:tcBorders>
              <w:top w:val="nil"/>
              <w:left w:val="nil"/>
              <w:bottom w:val="single" w:sz="4" w:space="0" w:color="auto"/>
              <w:right w:val="single" w:sz="4" w:space="0" w:color="auto"/>
            </w:tcBorders>
            <w:shd w:val="clear" w:color="auto" w:fill="auto"/>
            <w:noWrap/>
            <w:vAlign w:val="bottom"/>
          </w:tcPr>
          <w:p w14:paraId="02684663" w14:textId="3D7CC3C8" w:rsidR="00DF6CB2" w:rsidRPr="007B65C1" w:rsidRDefault="00DF6CB2" w:rsidP="007B65C1">
            <w:pPr>
              <w:jc w:val="right"/>
              <w:rPr>
                <w:rFonts w:ascii="Calibri" w:eastAsia="Times New Roman" w:hAnsi="Calibri" w:cs="Calibri"/>
                <w:b/>
                <w:bCs/>
                <w:color w:val="000000"/>
                <w:sz w:val="22"/>
                <w:szCs w:val="22"/>
                <w:lang w:val="en-IN" w:eastAsia="en-IN"/>
              </w:rPr>
            </w:pPr>
            <w:r w:rsidRPr="007B65C1">
              <w:rPr>
                <w:rFonts w:ascii="Calibri" w:eastAsia="Times New Roman" w:hAnsi="Calibri" w:cs="Calibri"/>
                <w:color w:val="000000"/>
                <w:sz w:val="22"/>
                <w:szCs w:val="22"/>
                <w:lang w:val="en-IN" w:eastAsia="en-IN"/>
              </w:rPr>
              <w:t>104.5711967</w:t>
            </w:r>
          </w:p>
        </w:tc>
        <w:tc>
          <w:tcPr>
            <w:tcW w:w="1164" w:type="dxa"/>
            <w:tcBorders>
              <w:top w:val="nil"/>
              <w:left w:val="nil"/>
              <w:bottom w:val="single" w:sz="4" w:space="0" w:color="auto"/>
              <w:right w:val="single" w:sz="4" w:space="0" w:color="auto"/>
            </w:tcBorders>
            <w:shd w:val="clear" w:color="auto" w:fill="auto"/>
            <w:noWrap/>
            <w:vAlign w:val="bottom"/>
          </w:tcPr>
          <w:p w14:paraId="7560FFC1" w14:textId="766FB1F6" w:rsidR="00DF6CB2" w:rsidRPr="007B65C1" w:rsidRDefault="00DF6CB2" w:rsidP="007B65C1">
            <w:pPr>
              <w:jc w:val="right"/>
              <w:rPr>
                <w:rFonts w:ascii="Calibri" w:eastAsia="Times New Roman" w:hAnsi="Calibri" w:cs="Calibri"/>
                <w:b/>
                <w:bCs/>
                <w:color w:val="000000"/>
                <w:sz w:val="22"/>
                <w:szCs w:val="22"/>
                <w:lang w:val="en-IN" w:eastAsia="en-IN"/>
              </w:rPr>
            </w:pPr>
            <w:r w:rsidRPr="007B65C1">
              <w:rPr>
                <w:rFonts w:ascii="Calibri" w:eastAsia="Times New Roman" w:hAnsi="Calibri" w:cs="Calibri"/>
                <w:color w:val="000000"/>
                <w:sz w:val="22"/>
                <w:szCs w:val="22"/>
                <w:lang w:val="en-IN" w:eastAsia="en-IN"/>
              </w:rPr>
              <w:t>82.12855</w:t>
            </w:r>
          </w:p>
        </w:tc>
        <w:tc>
          <w:tcPr>
            <w:tcW w:w="1276" w:type="dxa"/>
            <w:tcBorders>
              <w:top w:val="nil"/>
              <w:left w:val="nil"/>
              <w:bottom w:val="single" w:sz="4" w:space="0" w:color="auto"/>
              <w:right w:val="single" w:sz="4" w:space="0" w:color="auto"/>
            </w:tcBorders>
            <w:shd w:val="clear" w:color="auto" w:fill="auto"/>
            <w:noWrap/>
            <w:vAlign w:val="bottom"/>
          </w:tcPr>
          <w:p w14:paraId="25408D5F" w14:textId="360B1032" w:rsidR="00DF6CB2" w:rsidRPr="007B65C1" w:rsidRDefault="00DF6CB2" w:rsidP="007B65C1">
            <w:pPr>
              <w:jc w:val="right"/>
              <w:rPr>
                <w:rFonts w:ascii="Calibri" w:eastAsia="Times New Roman" w:hAnsi="Calibri" w:cs="Calibri"/>
                <w:b/>
                <w:bCs/>
                <w:color w:val="000000"/>
                <w:sz w:val="22"/>
                <w:szCs w:val="22"/>
                <w:lang w:val="en-IN" w:eastAsia="en-IN"/>
              </w:rPr>
            </w:pPr>
            <w:r w:rsidRPr="007B65C1">
              <w:rPr>
                <w:rFonts w:ascii="Calibri" w:eastAsia="Times New Roman" w:hAnsi="Calibri" w:cs="Calibri"/>
                <w:color w:val="000000"/>
                <w:sz w:val="22"/>
                <w:szCs w:val="22"/>
                <w:lang w:val="en-IN" w:eastAsia="en-IN"/>
              </w:rPr>
              <w:t>36.55283</w:t>
            </w:r>
          </w:p>
        </w:tc>
        <w:tc>
          <w:tcPr>
            <w:tcW w:w="1053" w:type="dxa"/>
            <w:tcBorders>
              <w:top w:val="nil"/>
              <w:left w:val="nil"/>
              <w:bottom w:val="single" w:sz="4" w:space="0" w:color="auto"/>
              <w:right w:val="single" w:sz="4" w:space="0" w:color="auto"/>
            </w:tcBorders>
            <w:shd w:val="clear" w:color="auto" w:fill="auto"/>
            <w:noWrap/>
            <w:vAlign w:val="bottom"/>
          </w:tcPr>
          <w:p w14:paraId="387C4277" w14:textId="6179224F" w:rsidR="00DF6CB2" w:rsidRPr="007B65C1" w:rsidRDefault="00DF6CB2" w:rsidP="007B65C1">
            <w:pPr>
              <w:jc w:val="right"/>
              <w:rPr>
                <w:rFonts w:ascii="Calibri" w:eastAsia="Times New Roman" w:hAnsi="Calibri" w:cs="Calibri"/>
                <w:b/>
                <w:bCs/>
                <w:color w:val="000000"/>
                <w:sz w:val="22"/>
                <w:szCs w:val="22"/>
                <w:lang w:val="en-IN" w:eastAsia="en-IN"/>
              </w:rPr>
            </w:pPr>
            <w:r w:rsidRPr="007B65C1">
              <w:rPr>
                <w:rFonts w:ascii="Calibri" w:eastAsia="Times New Roman" w:hAnsi="Calibri" w:cs="Calibri"/>
                <w:color w:val="000000"/>
                <w:sz w:val="22"/>
                <w:szCs w:val="22"/>
                <w:lang w:val="en-IN" w:eastAsia="en-IN"/>
              </w:rPr>
              <w:t>44.14227</w:t>
            </w:r>
          </w:p>
        </w:tc>
        <w:tc>
          <w:tcPr>
            <w:tcW w:w="1357" w:type="dxa"/>
            <w:tcBorders>
              <w:top w:val="nil"/>
              <w:left w:val="nil"/>
              <w:bottom w:val="single" w:sz="4" w:space="0" w:color="auto"/>
              <w:right w:val="single" w:sz="4" w:space="0" w:color="auto"/>
            </w:tcBorders>
            <w:shd w:val="clear" w:color="auto" w:fill="auto"/>
            <w:noWrap/>
            <w:vAlign w:val="bottom"/>
          </w:tcPr>
          <w:p w14:paraId="120E979D" w14:textId="7F2609DC" w:rsidR="00DF6CB2" w:rsidRPr="007B65C1" w:rsidRDefault="00DF6CB2" w:rsidP="007B65C1">
            <w:pPr>
              <w:jc w:val="right"/>
              <w:rPr>
                <w:rFonts w:ascii="Calibri" w:eastAsia="Times New Roman" w:hAnsi="Calibri" w:cs="Calibri"/>
                <w:b/>
                <w:bCs/>
                <w:color w:val="000000"/>
                <w:sz w:val="22"/>
                <w:szCs w:val="22"/>
                <w:lang w:val="en-IN" w:eastAsia="en-IN"/>
              </w:rPr>
            </w:pPr>
            <w:r w:rsidRPr="007B65C1">
              <w:rPr>
                <w:rFonts w:ascii="Calibri" w:eastAsia="Times New Roman" w:hAnsi="Calibri" w:cs="Calibri"/>
                <w:color w:val="000000"/>
                <w:sz w:val="22"/>
                <w:szCs w:val="22"/>
                <w:lang w:val="en-IN" w:eastAsia="en-IN"/>
              </w:rPr>
              <w:t>57.36639</w:t>
            </w:r>
          </w:p>
        </w:tc>
        <w:tc>
          <w:tcPr>
            <w:tcW w:w="1053" w:type="dxa"/>
            <w:tcBorders>
              <w:top w:val="nil"/>
              <w:left w:val="nil"/>
              <w:bottom w:val="single" w:sz="4" w:space="0" w:color="auto"/>
              <w:right w:val="single" w:sz="4" w:space="0" w:color="auto"/>
            </w:tcBorders>
            <w:shd w:val="clear" w:color="auto" w:fill="auto"/>
            <w:noWrap/>
            <w:vAlign w:val="bottom"/>
          </w:tcPr>
          <w:p w14:paraId="54DB2758" w14:textId="715542F7" w:rsidR="00DF6CB2" w:rsidRPr="007B65C1" w:rsidRDefault="00DF6CB2" w:rsidP="007B65C1">
            <w:pPr>
              <w:jc w:val="right"/>
              <w:rPr>
                <w:rFonts w:ascii="Calibri" w:eastAsia="Times New Roman" w:hAnsi="Calibri" w:cs="Calibri"/>
                <w:b/>
                <w:bCs/>
                <w:color w:val="000000"/>
                <w:sz w:val="22"/>
                <w:szCs w:val="22"/>
                <w:lang w:val="en-IN" w:eastAsia="en-IN"/>
              </w:rPr>
            </w:pPr>
            <w:r w:rsidRPr="007B65C1">
              <w:rPr>
                <w:rFonts w:ascii="Calibri" w:eastAsia="Times New Roman" w:hAnsi="Calibri" w:cs="Calibri"/>
                <w:color w:val="000000"/>
                <w:sz w:val="22"/>
                <w:szCs w:val="22"/>
                <w:lang w:val="en-IN" w:eastAsia="en-IN"/>
              </w:rPr>
              <w:t>66.428</w:t>
            </w:r>
          </w:p>
        </w:tc>
        <w:tc>
          <w:tcPr>
            <w:tcW w:w="1387" w:type="dxa"/>
            <w:tcBorders>
              <w:top w:val="nil"/>
              <w:left w:val="nil"/>
              <w:bottom w:val="single" w:sz="4" w:space="0" w:color="auto"/>
              <w:right w:val="single" w:sz="4" w:space="0" w:color="auto"/>
            </w:tcBorders>
            <w:shd w:val="clear" w:color="auto" w:fill="auto"/>
            <w:noWrap/>
            <w:vAlign w:val="bottom"/>
          </w:tcPr>
          <w:p w14:paraId="7681357B" w14:textId="6EF6FC48" w:rsidR="00DF6CB2" w:rsidRPr="007B65C1" w:rsidRDefault="00DF6CB2" w:rsidP="007B65C1">
            <w:pPr>
              <w:rPr>
                <w:rFonts w:ascii="Calibri" w:eastAsia="Times New Roman" w:hAnsi="Calibri" w:cs="Calibri"/>
                <w:b/>
                <w:bCs/>
                <w:color w:val="000000"/>
                <w:sz w:val="22"/>
                <w:szCs w:val="22"/>
                <w:lang w:val="en-IN" w:eastAsia="en-IN"/>
              </w:rPr>
            </w:pPr>
            <w:r w:rsidRPr="007B65C1">
              <w:rPr>
                <w:rFonts w:ascii="Calibri" w:eastAsia="Times New Roman" w:hAnsi="Calibri" w:cs="Calibri"/>
                <w:color w:val="000000"/>
                <w:sz w:val="22"/>
                <w:szCs w:val="22"/>
                <w:lang w:val="en-IN" w:eastAsia="en-IN"/>
              </w:rPr>
              <w:t>69.70954127</w:t>
            </w:r>
          </w:p>
        </w:tc>
      </w:tr>
      <w:tr w:rsidR="00DF6CB2" w:rsidRPr="007B65C1" w14:paraId="2A6F4BF6" w14:textId="77777777" w:rsidTr="00FB1BA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72E8F7F" w14:textId="758226E0" w:rsidR="00DF6CB2" w:rsidRPr="007B65C1" w:rsidRDefault="00DF6CB2" w:rsidP="007B65C1">
            <w:pPr>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Additions to NWC</w:t>
            </w:r>
          </w:p>
        </w:tc>
        <w:tc>
          <w:tcPr>
            <w:tcW w:w="1387" w:type="dxa"/>
            <w:tcBorders>
              <w:top w:val="nil"/>
              <w:left w:val="nil"/>
              <w:bottom w:val="single" w:sz="4" w:space="0" w:color="auto"/>
              <w:right w:val="single" w:sz="4" w:space="0" w:color="auto"/>
            </w:tcBorders>
            <w:shd w:val="clear" w:color="auto" w:fill="auto"/>
            <w:noWrap/>
            <w:vAlign w:val="bottom"/>
            <w:hideMark/>
          </w:tcPr>
          <w:p w14:paraId="7043AD56" w14:textId="1544FFCC" w:rsidR="00DF6CB2" w:rsidRPr="007B65C1" w:rsidRDefault="00DF6CB2"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-14.72</w:t>
            </w:r>
          </w:p>
        </w:tc>
        <w:tc>
          <w:tcPr>
            <w:tcW w:w="1164" w:type="dxa"/>
            <w:tcBorders>
              <w:top w:val="nil"/>
              <w:left w:val="nil"/>
              <w:bottom w:val="single" w:sz="4" w:space="0" w:color="auto"/>
              <w:right w:val="single" w:sz="4" w:space="0" w:color="auto"/>
            </w:tcBorders>
            <w:shd w:val="clear" w:color="auto" w:fill="auto"/>
            <w:noWrap/>
            <w:vAlign w:val="bottom"/>
            <w:hideMark/>
          </w:tcPr>
          <w:p w14:paraId="6F5DB0E7" w14:textId="4CAD9B76" w:rsidR="00DF6CB2" w:rsidRPr="007B65C1" w:rsidRDefault="00DF6CB2"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-14.72</w:t>
            </w:r>
          </w:p>
        </w:tc>
        <w:tc>
          <w:tcPr>
            <w:tcW w:w="1276" w:type="dxa"/>
            <w:tcBorders>
              <w:top w:val="nil"/>
              <w:left w:val="nil"/>
              <w:bottom w:val="single" w:sz="4" w:space="0" w:color="auto"/>
              <w:right w:val="single" w:sz="4" w:space="0" w:color="auto"/>
            </w:tcBorders>
            <w:shd w:val="clear" w:color="auto" w:fill="auto"/>
            <w:noWrap/>
            <w:vAlign w:val="bottom"/>
            <w:hideMark/>
          </w:tcPr>
          <w:p w14:paraId="78588713" w14:textId="04E1CD43" w:rsidR="00DF6CB2" w:rsidRPr="007B65C1" w:rsidRDefault="00DF6CB2"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-7.36</w:t>
            </w:r>
          </w:p>
        </w:tc>
        <w:tc>
          <w:tcPr>
            <w:tcW w:w="1053" w:type="dxa"/>
            <w:tcBorders>
              <w:top w:val="nil"/>
              <w:left w:val="nil"/>
              <w:bottom w:val="single" w:sz="4" w:space="0" w:color="auto"/>
              <w:right w:val="single" w:sz="4" w:space="0" w:color="auto"/>
            </w:tcBorders>
            <w:shd w:val="clear" w:color="auto" w:fill="auto"/>
            <w:noWrap/>
            <w:vAlign w:val="bottom"/>
            <w:hideMark/>
          </w:tcPr>
          <w:p w14:paraId="7742D929" w14:textId="4FB25B00" w:rsidR="00DF6CB2" w:rsidRPr="007B65C1" w:rsidRDefault="00DF6CB2"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0</w:t>
            </w:r>
          </w:p>
        </w:tc>
        <w:tc>
          <w:tcPr>
            <w:tcW w:w="1357" w:type="dxa"/>
            <w:tcBorders>
              <w:top w:val="nil"/>
              <w:left w:val="nil"/>
              <w:bottom w:val="single" w:sz="4" w:space="0" w:color="auto"/>
              <w:right w:val="single" w:sz="4" w:space="0" w:color="auto"/>
            </w:tcBorders>
            <w:shd w:val="clear" w:color="auto" w:fill="auto"/>
            <w:noWrap/>
            <w:vAlign w:val="bottom"/>
            <w:hideMark/>
          </w:tcPr>
          <w:p w14:paraId="5A920470" w14:textId="7F349005" w:rsidR="00DF6CB2" w:rsidRPr="007B65C1" w:rsidRDefault="00DF6CB2"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7.36</w:t>
            </w:r>
          </w:p>
        </w:tc>
        <w:tc>
          <w:tcPr>
            <w:tcW w:w="1053" w:type="dxa"/>
            <w:tcBorders>
              <w:top w:val="nil"/>
              <w:left w:val="nil"/>
              <w:bottom w:val="single" w:sz="4" w:space="0" w:color="auto"/>
              <w:right w:val="single" w:sz="4" w:space="0" w:color="auto"/>
            </w:tcBorders>
            <w:shd w:val="clear" w:color="auto" w:fill="auto"/>
            <w:noWrap/>
            <w:vAlign w:val="bottom"/>
            <w:hideMark/>
          </w:tcPr>
          <w:p w14:paraId="2EC110FC" w14:textId="17D984E0" w:rsidR="00DF6CB2" w:rsidRPr="007B65C1" w:rsidRDefault="00DF6CB2"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14.72</w:t>
            </w:r>
          </w:p>
        </w:tc>
        <w:tc>
          <w:tcPr>
            <w:tcW w:w="1387" w:type="dxa"/>
            <w:tcBorders>
              <w:top w:val="nil"/>
              <w:left w:val="nil"/>
              <w:bottom w:val="single" w:sz="4" w:space="0" w:color="auto"/>
              <w:right w:val="single" w:sz="4" w:space="0" w:color="auto"/>
            </w:tcBorders>
            <w:shd w:val="clear" w:color="auto" w:fill="auto"/>
            <w:noWrap/>
            <w:vAlign w:val="bottom"/>
            <w:hideMark/>
          </w:tcPr>
          <w:p w14:paraId="3FB55449" w14:textId="25877269" w:rsidR="00DF6CB2" w:rsidRPr="007B65C1" w:rsidRDefault="00DF6CB2"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21.22</w:t>
            </w:r>
          </w:p>
        </w:tc>
      </w:tr>
      <w:tr w:rsidR="00DF6CB2" w:rsidRPr="007B65C1" w14:paraId="0EBF1247" w14:textId="77777777" w:rsidTr="00FB1BA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AC1F53C" w14:textId="36E79BB6" w:rsidR="00DF6CB2" w:rsidRPr="007B65C1" w:rsidRDefault="00DF6CB2" w:rsidP="007B65C1">
            <w:pPr>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CAPEX</w:t>
            </w:r>
          </w:p>
        </w:tc>
        <w:tc>
          <w:tcPr>
            <w:tcW w:w="1387" w:type="dxa"/>
            <w:tcBorders>
              <w:top w:val="nil"/>
              <w:left w:val="nil"/>
              <w:bottom w:val="nil"/>
              <w:right w:val="nil"/>
            </w:tcBorders>
            <w:shd w:val="clear" w:color="auto" w:fill="auto"/>
            <w:noWrap/>
            <w:vAlign w:val="bottom"/>
            <w:hideMark/>
          </w:tcPr>
          <w:p w14:paraId="4DE9C29B" w14:textId="2B02A60D" w:rsidR="00DF6CB2" w:rsidRPr="007B65C1" w:rsidRDefault="00DF6CB2"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134.331</w:t>
            </w:r>
          </w:p>
        </w:tc>
        <w:tc>
          <w:tcPr>
            <w:tcW w:w="1164" w:type="dxa"/>
            <w:tcBorders>
              <w:top w:val="nil"/>
              <w:left w:val="nil"/>
              <w:bottom w:val="nil"/>
              <w:right w:val="nil"/>
            </w:tcBorders>
            <w:shd w:val="clear" w:color="auto" w:fill="auto"/>
            <w:noWrap/>
            <w:vAlign w:val="bottom"/>
            <w:hideMark/>
          </w:tcPr>
          <w:p w14:paraId="1BDB9CE9" w14:textId="3053D2B3" w:rsidR="00DF6CB2" w:rsidRPr="007B65C1" w:rsidRDefault="00DF6CB2"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134.331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531F6000" w14:textId="5C95045B" w:rsidR="00DF6CB2" w:rsidRPr="007B65C1" w:rsidRDefault="00DF6CB2"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115.98</w:t>
            </w:r>
          </w:p>
        </w:tc>
        <w:tc>
          <w:tcPr>
            <w:tcW w:w="1053" w:type="dxa"/>
            <w:tcBorders>
              <w:top w:val="nil"/>
              <w:left w:val="nil"/>
              <w:bottom w:val="single" w:sz="4" w:space="0" w:color="auto"/>
              <w:right w:val="single" w:sz="4" w:space="0" w:color="auto"/>
            </w:tcBorders>
            <w:shd w:val="clear" w:color="auto" w:fill="auto"/>
            <w:noWrap/>
            <w:vAlign w:val="bottom"/>
            <w:hideMark/>
          </w:tcPr>
          <w:p w14:paraId="75B2B32B" w14:textId="14F0A4CC" w:rsidR="00DF6CB2" w:rsidRPr="007B65C1" w:rsidRDefault="00DF6CB2"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79.32</w:t>
            </w:r>
          </w:p>
        </w:tc>
        <w:tc>
          <w:tcPr>
            <w:tcW w:w="1357" w:type="dxa"/>
            <w:tcBorders>
              <w:top w:val="nil"/>
              <w:left w:val="nil"/>
              <w:bottom w:val="single" w:sz="4" w:space="0" w:color="auto"/>
              <w:right w:val="single" w:sz="4" w:space="0" w:color="auto"/>
            </w:tcBorders>
            <w:shd w:val="clear" w:color="auto" w:fill="auto"/>
            <w:noWrap/>
            <w:vAlign w:val="bottom"/>
            <w:hideMark/>
          </w:tcPr>
          <w:p w14:paraId="63906A49" w14:textId="5C352021" w:rsidR="00DF6CB2" w:rsidRPr="007B65C1" w:rsidRDefault="00DF6CB2"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42.66</w:t>
            </w:r>
          </w:p>
        </w:tc>
        <w:tc>
          <w:tcPr>
            <w:tcW w:w="1053" w:type="dxa"/>
            <w:tcBorders>
              <w:top w:val="nil"/>
              <w:left w:val="nil"/>
              <w:bottom w:val="single" w:sz="4" w:space="0" w:color="auto"/>
              <w:right w:val="single" w:sz="4" w:space="0" w:color="auto"/>
            </w:tcBorders>
            <w:shd w:val="clear" w:color="auto" w:fill="auto"/>
            <w:noWrap/>
            <w:vAlign w:val="bottom"/>
            <w:hideMark/>
          </w:tcPr>
          <w:p w14:paraId="364A617D" w14:textId="13DEECE5" w:rsidR="00DF6CB2" w:rsidRPr="007B65C1" w:rsidRDefault="00DF6CB2"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45.66</w:t>
            </w:r>
          </w:p>
        </w:tc>
        <w:tc>
          <w:tcPr>
            <w:tcW w:w="1387" w:type="dxa"/>
            <w:tcBorders>
              <w:top w:val="nil"/>
              <w:left w:val="nil"/>
              <w:bottom w:val="single" w:sz="4" w:space="0" w:color="auto"/>
              <w:right w:val="single" w:sz="4" w:space="0" w:color="auto"/>
            </w:tcBorders>
            <w:shd w:val="clear" w:color="auto" w:fill="auto"/>
            <w:noWrap/>
            <w:vAlign w:val="bottom"/>
            <w:hideMark/>
          </w:tcPr>
          <w:p w14:paraId="5E8AD29F" w14:textId="3C0A0445" w:rsidR="00DF6CB2" w:rsidRPr="007B65C1" w:rsidRDefault="00DF6CB2"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45.29604</w:t>
            </w:r>
          </w:p>
        </w:tc>
      </w:tr>
      <w:tr w:rsidR="00DF6CB2" w:rsidRPr="007B65C1" w14:paraId="4327041E" w14:textId="77777777" w:rsidTr="00FB1BA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32CF294" w14:textId="698FDE50" w:rsidR="00DF6CB2" w:rsidRPr="007B65C1" w:rsidRDefault="00DF6CB2" w:rsidP="007B65C1">
            <w:pPr>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Depreciation</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14:paraId="7E62E7DC" w14:textId="5FABE661" w:rsidR="00DF6CB2" w:rsidRPr="007B65C1" w:rsidRDefault="00DF6CB2"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43.86986246</w:t>
            </w:r>
          </w:p>
        </w:tc>
        <w:tc>
          <w:tcPr>
            <w:tcW w:w="1164" w:type="dxa"/>
            <w:tcBorders>
              <w:top w:val="single" w:sz="4" w:space="0" w:color="auto"/>
              <w:left w:val="nil"/>
              <w:bottom w:val="single" w:sz="4" w:space="0" w:color="auto"/>
              <w:right w:val="single" w:sz="4" w:space="0" w:color="auto"/>
            </w:tcBorders>
            <w:shd w:val="clear" w:color="auto" w:fill="auto"/>
            <w:noWrap/>
            <w:vAlign w:val="bottom"/>
            <w:hideMark/>
          </w:tcPr>
          <w:p w14:paraId="3365E9CB" w14:textId="279C855E" w:rsidR="00DF6CB2" w:rsidRPr="007B65C1" w:rsidRDefault="00DF6CB2"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55.13273</w:t>
            </w:r>
          </w:p>
        </w:tc>
        <w:tc>
          <w:tcPr>
            <w:tcW w:w="1276" w:type="dxa"/>
            <w:tcBorders>
              <w:top w:val="nil"/>
              <w:left w:val="nil"/>
              <w:bottom w:val="single" w:sz="4" w:space="0" w:color="auto"/>
              <w:right w:val="single" w:sz="4" w:space="0" w:color="auto"/>
            </w:tcBorders>
            <w:shd w:val="clear" w:color="auto" w:fill="auto"/>
            <w:noWrap/>
            <w:vAlign w:val="bottom"/>
            <w:hideMark/>
          </w:tcPr>
          <w:p w14:paraId="67C6E8C9" w14:textId="541E1784" w:rsidR="00DF6CB2" w:rsidRPr="007B65C1" w:rsidRDefault="00DF6CB2"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58.9792</w:t>
            </w:r>
          </w:p>
        </w:tc>
        <w:tc>
          <w:tcPr>
            <w:tcW w:w="1053" w:type="dxa"/>
            <w:tcBorders>
              <w:top w:val="nil"/>
              <w:left w:val="nil"/>
              <w:bottom w:val="single" w:sz="4" w:space="0" w:color="auto"/>
              <w:right w:val="single" w:sz="4" w:space="0" w:color="auto"/>
            </w:tcBorders>
            <w:shd w:val="clear" w:color="auto" w:fill="auto"/>
            <w:noWrap/>
            <w:vAlign w:val="bottom"/>
            <w:hideMark/>
          </w:tcPr>
          <w:p w14:paraId="54DD5144" w14:textId="3AA07CBF" w:rsidR="00DF6CB2" w:rsidRPr="007B65C1" w:rsidRDefault="00DF6CB2"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61.54351</w:t>
            </w:r>
          </w:p>
        </w:tc>
        <w:tc>
          <w:tcPr>
            <w:tcW w:w="1357" w:type="dxa"/>
            <w:tcBorders>
              <w:top w:val="nil"/>
              <w:left w:val="nil"/>
              <w:bottom w:val="single" w:sz="4" w:space="0" w:color="auto"/>
              <w:right w:val="single" w:sz="4" w:space="0" w:color="auto"/>
            </w:tcBorders>
            <w:shd w:val="clear" w:color="auto" w:fill="auto"/>
            <w:noWrap/>
            <w:vAlign w:val="bottom"/>
            <w:hideMark/>
          </w:tcPr>
          <w:p w14:paraId="49838D45" w14:textId="25907770" w:rsidR="00DF6CB2" w:rsidRPr="007B65C1" w:rsidRDefault="00DF6CB2"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62.82567</w:t>
            </w:r>
          </w:p>
        </w:tc>
        <w:tc>
          <w:tcPr>
            <w:tcW w:w="1053" w:type="dxa"/>
            <w:tcBorders>
              <w:top w:val="nil"/>
              <w:left w:val="nil"/>
              <w:bottom w:val="single" w:sz="4" w:space="0" w:color="auto"/>
              <w:right w:val="single" w:sz="4" w:space="0" w:color="auto"/>
            </w:tcBorders>
            <w:shd w:val="clear" w:color="auto" w:fill="auto"/>
            <w:noWrap/>
            <w:vAlign w:val="bottom"/>
            <w:hideMark/>
          </w:tcPr>
          <w:p w14:paraId="56CF7BAA" w14:textId="4822ADC5" w:rsidR="00DF6CB2" w:rsidRPr="007B65C1" w:rsidRDefault="00DF6CB2"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64.10782</w:t>
            </w:r>
          </w:p>
        </w:tc>
        <w:tc>
          <w:tcPr>
            <w:tcW w:w="1387" w:type="dxa"/>
            <w:tcBorders>
              <w:top w:val="nil"/>
              <w:left w:val="nil"/>
              <w:bottom w:val="single" w:sz="4" w:space="0" w:color="auto"/>
              <w:right w:val="single" w:sz="4" w:space="0" w:color="auto"/>
            </w:tcBorders>
            <w:shd w:val="clear" w:color="auto" w:fill="auto"/>
            <w:noWrap/>
            <w:vAlign w:val="bottom"/>
            <w:hideMark/>
          </w:tcPr>
          <w:p w14:paraId="70C7FC4D" w14:textId="135FC186" w:rsidR="00DF6CB2" w:rsidRPr="007B65C1" w:rsidRDefault="00DF6CB2"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65.31304899</w:t>
            </w:r>
          </w:p>
        </w:tc>
      </w:tr>
      <w:tr w:rsidR="00DF6CB2" w:rsidRPr="007B65C1" w14:paraId="36DC2DAC" w14:textId="77777777" w:rsidTr="00FB1BA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AD5CD56" w14:textId="3E6D5221" w:rsidR="00DF6CB2" w:rsidRPr="007B65C1" w:rsidRDefault="00DF6CB2" w:rsidP="007B65C1">
            <w:pPr>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FCFF</w:t>
            </w:r>
          </w:p>
        </w:tc>
        <w:tc>
          <w:tcPr>
            <w:tcW w:w="1387" w:type="dxa"/>
            <w:tcBorders>
              <w:top w:val="nil"/>
              <w:left w:val="nil"/>
              <w:bottom w:val="single" w:sz="4" w:space="0" w:color="auto"/>
              <w:right w:val="single" w:sz="4" w:space="0" w:color="auto"/>
            </w:tcBorders>
            <w:shd w:val="clear" w:color="auto" w:fill="auto"/>
            <w:noWrap/>
            <w:vAlign w:val="bottom"/>
            <w:hideMark/>
          </w:tcPr>
          <w:p w14:paraId="07333F4D" w14:textId="7B7DFF2F" w:rsidR="00DF6CB2" w:rsidRPr="007B65C1" w:rsidRDefault="00DF6CB2"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28.83005912</w:t>
            </w:r>
          </w:p>
        </w:tc>
        <w:tc>
          <w:tcPr>
            <w:tcW w:w="1164" w:type="dxa"/>
            <w:tcBorders>
              <w:top w:val="nil"/>
              <w:left w:val="nil"/>
              <w:bottom w:val="single" w:sz="4" w:space="0" w:color="auto"/>
              <w:right w:val="single" w:sz="4" w:space="0" w:color="auto"/>
            </w:tcBorders>
            <w:shd w:val="clear" w:color="auto" w:fill="auto"/>
            <w:noWrap/>
            <w:vAlign w:val="bottom"/>
            <w:hideMark/>
          </w:tcPr>
          <w:p w14:paraId="54102565" w14:textId="2873B3FC" w:rsidR="00DF6CB2" w:rsidRPr="007B65C1" w:rsidRDefault="00DF6CB2"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17.65028</w:t>
            </w:r>
          </w:p>
        </w:tc>
        <w:tc>
          <w:tcPr>
            <w:tcW w:w="1276" w:type="dxa"/>
            <w:tcBorders>
              <w:top w:val="nil"/>
              <w:left w:val="nil"/>
              <w:bottom w:val="single" w:sz="4" w:space="0" w:color="auto"/>
              <w:right w:val="single" w:sz="4" w:space="0" w:color="auto"/>
            </w:tcBorders>
            <w:shd w:val="clear" w:color="auto" w:fill="auto"/>
            <w:noWrap/>
            <w:vAlign w:val="bottom"/>
            <w:hideMark/>
          </w:tcPr>
          <w:p w14:paraId="0A7764EB" w14:textId="39302E22" w:rsidR="00DF6CB2" w:rsidRPr="007B65C1" w:rsidRDefault="00DF6CB2"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-13.088</w:t>
            </w:r>
          </w:p>
        </w:tc>
        <w:tc>
          <w:tcPr>
            <w:tcW w:w="1053" w:type="dxa"/>
            <w:tcBorders>
              <w:top w:val="nil"/>
              <w:left w:val="nil"/>
              <w:bottom w:val="single" w:sz="4" w:space="0" w:color="auto"/>
              <w:right w:val="single" w:sz="4" w:space="0" w:color="auto"/>
            </w:tcBorders>
            <w:shd w:val="clear" w:color="auto" w:fill="auto"/>
            <w:noWrap/>
            <w:vAlign w:val="bottom"/>
            <w:hideMark/>
          </w:tcPr>
          <w:p w14:paraId="21673AF4" w14:textId="6194DC68" w:rsidR="00DF6CB2" w:rsidRPr="007B65C1" w:rsidRDefault="00DF6CB2"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26.36578</w:t>
            </w:r>
          </w:p>
        </w:tc>
        <w:tc>
          <w:tcPr>
            <w:tcW w:w="1357" w:type="dxa"/>
            <w:tcBorders>
              <w:top w:val="nil"/>
              <w:left w:val="nil"/>
              <w:bottom w:val="single" w:sz="4" w:space="0" w:color="auto"/>
              <w:right w:val="single" w:sz="4" w:space="0" w:color="auto"/>
            </w:tcBorders>
            <w:shd w:val="clear" w:color="auto" w:fill="auto"/>
            <w:noWrap/>
            <w:vAlign w:val="bottom"/>
            <w:hideMark/>
          </w:tcPr>
          <w:p w14:paraId="104D633B" w14:textId="58FFC93D" w:rsidR="00DF6CB2" w:rsidRPr="007B65C1" w:rsidRDefault="00DF6CB2"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70.17205</w:t>
            </w:r>
          </w:p>
        </w:tc>
        <w:tc>
          <w:tcPr>
            <w:tcW w:w="1053" w:type="dxa"/>
            <w:tcBorders>
              <w:top w:val="nil"/>
              <w:left w:val="nil"/>
              <w:bottom w:val="single" w:sz="4" w:space="0" w:color="auto"/>
              <w:right w:val="single" w:sz="4" w:space="0" w:color="auto"/>
            </w:tcBorders>
            <w:shd w:val="clear" w:color="auto" w:fill="auto"/>
            <w:noWrap/>
            <w:vAlign w:val="bottom"/>
            <w:hideMark/>
          </w:tcPr>
          <w:p w14:paraId="03E497F1" w14:textId="6598E16D" w:rsidR="00DF6CB2" w:rsidRPr="007B65C1" w:rsidRDefault="00DF6CB2"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70.15582</w:t>
            </w:r>
          </w:p>
        </w:tc>
        <w:tc>
          <w:tcPr>
            <w:tcW w:w="1387" w:type="dxa"/>
            <w:tcBorders>
              <w:top w:val="nil"/>
              <w:left w:val="nil"/>
              <w:bottom w:val="single" w:sz="4" w:space="0" w:color="auto"/>
              <w:right w:val="single" w:sz="4" w:space="0" w:color="auto"/>
            </w:tcBorders>
            <w:shd w:val="clear" w:color="auto" w:fill="auto"/>
            <w:noWrap/>
            <w:vAlign w:val="bottom"/>
            <w:hideMark/>
          </w:tcPr>
          <w:p w14:paraId="73A5B34B" w14:textId="516ED5F4" w:rsidR="00DF6CB2" w:rsidRPr="007B65C1" w:rsidRDefault="00DF6CB2"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68.50655026</w:t>
            </w:r>
          </w:p>
        </w:tc>
      </w:tr>
    </w:tbl>
    <w:p w14:paraId="16026037" w14:textId="7BDDFB6D" w:rsidR="00325EE3" w:rsidRDefault="006A3474" w:rsidP="006A3474">
      <w:pPr>
        <w:jc w:val="center"/>
      </w:pPr>
      <w:r>
        <w:t>Source: Own Calculations</w:t>
      </w:r>
    </w:p>
    <w:p w14:paraId="0E0388D9" w14:textId="77777777" w:rsidR="00206191" w:rsidRDefault="00206191" w:rsidP="006A3474">
      <w:pPr>
        <w:jc w:val="center"/>
      </w:pPr>
    </w:p>
    <w:p w14:paraId="30049B10" w14:textId="77777777" w:rsidR="0069377C" w:rsidRDefault="0069377C" w:rsidP="0069377C">
      <w:pPr>
        <w:pStyle w:val="Heading2"/>
      </w:pPr>
      <w:bookmarkStart w:id="13" w:name="_Toc118038938"/>
      <w:bookmarkStart w:id="14" w:name="_Toc118052802"/>
      <w:bookmarkStart w:id="15" w:name="_Toc121096870"/>
    </w:p>
    <w:p w14:paraId="6EA6D5E9" w14:textId="77777777" w:rsidR="0069377C" w:rsidRDefault="0069377C" w:rsidP="0069377C">
      <w:pPr>
        <w:pStyle w:val="Heading2"/>
      </w:pPr>
    </w:p>
    <w:p w14:paraId="5FE5BFDA" w14:textId="408AB815" w:rsidR="0069377C" w:rsidRDefault="0069377C" w:rsidP="0069377C"/>
    <w:p w14:paraId="24C4D299" w14:textId="77777777" w:rsidR="00404BA8" w:rsidRDefault="00404BA8" w:rsidP="0069377C"/>
    <w:p w14:paraId="5AB33EC6" w14:textId="77777777" w:rsidR="00E470DF" w:rsidRPr="0069377C" w:rsidRDefault="00E470DF" w:rsidP="0069377C"/>
    <w:p w14:paraId="629FE611" w14:textId="19E0B945" w:rsidR="00782A26" w:rsidRPr="0069377C" w:rsidRDefault="00325EE3" w:rsidP="0069377C">
      <w:pPr>
        <w:pStyle w:val="Heading2"/>
      </w:pPr>
      <w:r>
        <w:lastRenderedPageBreak/>
        <w:t>Debt-Equity Ratio Analysis</w:t>
      </w:r>
      <w:bookmarkEnd w:id="13"/>
      <w:bookmarkEnd w:id="14"/>
      <w:bookmarkEnd w:id="15"/>
    </w:p>
    <w:p w14:paraId="278708FB" w14:textId="35076B73" w:rsidR="0069377C" w:rsidRDefault="00E470DF" w:rsidP="0069377C">
      <w:pPr>
        <w:rPr>
          <w:rFonts w:ascii="Times New Roman" w:hAnsi="Times New Roman" w:cs="Times New Roman"/>
        </w:rPr>
      </w:pPr>
      <w:r w:rsidRPr="00E050E3">
        <w:rPr>
          <w:noProof/>
        </w:rPr>
        <w:drawing>
          <wp:anchor distT="0" distB="0" distL="114300" distR="114300" simplePos="0" relativeHeight="251697152" behindDoc="1" locked="0" layoutInCell="1" allowOverlap="1" wp14:anchorId="5EABC6FB" wp14:editId="7B5BADB0">
            <wp:simplePos x="0" y="0"/>
            <wp:positionH relativeFrom="column">
              <wp:posOffset>-295275</wp:posOffset>
            </wp:positionH>
            <wp:positionV relativeFrom="paragraph">
              <wp:posOffset>208281</wp:posOffset>
            </wp:positionV>
            <wp:extent cx="3105150" cy="2099310"/>
            <wp:effectExtent l="0" t="0" r="6350" b="8890"/>
            <wp:wrapNone/>
            <wp:docPr id="20" name="Chart 20">
              <a:extLst xmlns:a="http://schemas.openxmlformats.org/drawingml/2006/main">
                <a:ext uri="{FF2B5EF4-FFF2-40B4-BE49-F238E27FC236}">
                  <a16:creationId xmlns:a16="http://schemas.microsoft.com/office/drawing/2014/main" id="{28EE6E60-721C-488F-A746-40450BE215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page">
              <wp14:pctWidth>0</wp14:pctWidth>
            </wp14:sizeRelH>
            <wp14:sizeRelV relativeFrom="page">
              <wp14:pctHeight>0</wp14:pctHeight>
            </wp14:sizeRelV>
          </wp:anchor>
        </w:drawing>
      </w:r>
    </w:p>
    <w:p w14:paraId="2B594218" w14:textId="6D822662" w:rsidR="0069377C" w:rsidRDefault="00E470DF" w:rsidP="0080798B">
      <w:pPr>
        <w:jc w:val="center"/>
        <w:rPr>
          <w:rFonts w:ascii="Times New Roman" w:hAnsi="Times New Roman" w:cs="Times New Roman"/>
        </w:rPr>
      </w:pPr>
      <w:r>
        <w:rPr>
          <w:noProof/>
        </w:rPr>
        <w:drawing>
          <wp:anchor distT="0" distB="0" distL="114300" distR="114300" simplePos="0" relativeHeight="251701248" behindDoc="1" locked="0" layoutInCell="1" allowOverlap="1" wp14:anchorId="56D7C810" wp14:editId="3CA74C87">
            <wp:simplePos x="0" y="0"/>
            <wp:positionH relativeFrom="column">
              <wp:posOffset>2882900</wp:posOffset>
            </wp:positionH>
            <wp:positionV relativeFrom="paragraph">
              <wp:posOffset>32385</wp:posOffset>
            </wp:positionV>
            <wp:extent cx="3149600" cy="2098675"/>
            <wp:effectExtent l="0" t="0" r="12700" b="9525"/>
            <wp:wrapNone/>
            <wp:docPr id="2" name="Chart 2">
              <a:extLst xmlns:a="http://schemas.openxmlformats.org/drawingml/2006/main">
                <a:ext uri="{FF2B5EF4-FFF2-40B4-BE49-F238E27FC236}">
                  <a16:creationId xmlns:a16="http://schemas.microsoft.com/office/drawing/2014/main" id="{45038597-EEA7-0C73-E786-D157366625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page">
              <wp14:pctWidth>0</wp14:pctWidth>
            </wp14:sizeRelH>
            <wp14:sizeRelV relativeFrom="page">
              <wp14:pctHeight>0</wp14:pctHeight>
            </wp14:sizeRelV>
          </wp:anchor>
        </w:drawing>
      </w:r>
    </w:p>
    <w:p w14:paraId="0DDC525E" w14:textId="403AFBE1" w:rsidR="0069377C" w:rsidRDefault="0069377C" w:rsidP="0080798B">
      <w:pPr>
        <w:jc w:val="center"/>
        <w:rPr>
          <w:rFonts w:ascii="Times New Roman" w:hAnsi="Times New Roman" w:cs="Times New Roman"/>
        </w:rPr>
      </w:pPr>
    </w:p>
    <w:p w14:paraId="2952AF3C" w14:textId="581937BB" w:rsidR="0069377C" w:rsidRDefault="0069377C" w:rsidP="0080798B">
      <w:pPr>
        <w:jc w:val="center"/>
        <w:rPr>
          <w:rFonts w:ascii="Times New Roman" w:hAnsi="Times New Roman" w:cs="Times New Roman"/>
        </w:rPr>
      </w:pPr>
    </w:p>
    <w:p w14:paraId="3AEF457D" w14:textId="3452FA4B" w:rsidR="0069377C" w:rsidRDefault="0069377C" w:rsidP="0080798B">
      <w:pPr>
        <w:jc w:val="center"/>
        <w:rPr>
          <w:rFonts w:ascii="Times New Roman" w:hAnsi="Times New Roman" w:cs="Times New Roman"/>
        </w:rPr>
      </w:pPr>
    </w:p>
    <w:p w14:paraId="08F7FF68" w14:textId="05EFE7BF" w:rsidR="0069377C" w:rsidRDefault="0069377C" w:rsidP="0080798B">
      <w:pPr>
        <w:jc w:val="center"/>
        <w:rPr>
          <w:rFonts w:ascii="Times New Roman" w:hAnsi="Times New Roman" w:cs="Times New Roman"/>
        </w:rPr>
      </w:pPr>
    </w:p>
    <w:p w14:paraId="07F16B63" w14:textId="77777777" w:rsidR="0069377C" w:rsidRDefault="0069377C" w:rsidP="0080798B">
      <w:pPr>
        <w:jc w:val="center"/>
        <w:rPr>
          <w:rFonts w:ascii="Times New Roman" w:hAnsi="Times New Roman" w:cs="Times New Roman"/>
        </w:rPr>
      </w:pPr>
    </w:p>
    <w:p w14:paraId="5A1A108A" w14:textId="6A81ED9E" w:rsidR="0069377C" w:rsidRDefault="0069377C" w:rsidP="0080798B">
      <w:pPr>
        <w:jc w:val="center"/>
        <w:rPr>
          <w:rFonts w:ascii="Times New Roman" w:hAnsi="Times New Roman" w:cs="Times New Roman"/>
        </w:rPr>
      </w:pPr>
    </w:p>
    <w:p w14:paraId="5C1E23B9" w14:textId="3597298A" w:rsidR="0069377C" w:rsidRDefault="0069377C" w:rsidP="0080798B">
      <w:pPr>
        <w:jc w:val="center"/>
        <w:rPr>
          <w:rFonts w:ascii="Times New Roman" w:hAnsi="Times New Roman" w:cs="Times New Roman"/>
        </w:rPr>
      </w:pPr>
    </w:p>
    <w:p w14:paraId="31CD8120" w14:textId="77777777" w:rsidR="0069377C" w:rsidRDefault="0069377C" w:rsidP="0080798B">
      <w:pPr>
        <w:jc w:val="center"/>
        <w:rPr>
          <w:rFonts w:ascii="Times New Roman" w:hAnsi="Times New Roman" w:cs="Times New Roman"/>
        </w:rPr>
      </w:pPr>
    </w:p>
    <w:p w14:paraId="1CABEE4C" w14:textId="77777777" w:rsidR="0069377C" w:rsidRDefault="0069377C" w:rsidP="0080798B">
      <w:pPr>
        <w:jc w:val="center"/>
        <w:rPr>
          <w:rFonts w:ascii="Times New Roman" w:hAnsi="Times New Roman" w:cs="Times New Roman"/>
        </w:rPr>
      </w:pPr>
    </w:p>
    <w:p w14:paraId="0DEAC8C2" w14:textId="023E0FA2" w:rsidR="0069377C" w:rsidRDefault="0069377C" w:rsidP="0080798B">
      <w:pPr>
        <w:jc w:val="center"/>
        <w:rPr>
          <w:rFonts w:ascii="Times New Roman" w:hAnsi="Times New Roman" w:cs="Times New Roman"/>
        </w:rPr>
      </w:pPr>
    </w:p>
    <w:p w14:paraId="26C36504" w14:textId="77777777" w:rsidR="0069377C" w:rsidRDefault="0069377C" w:rsidP="0080798B">
      <w:pPr>
        <w:jc w:val="center"/>
        <w:rPr>
          <w:rFonts w:ascii="Times New Roman" w:hAnsi="Times New Roman" w:cs="Times New Roman"/>
        </w:rPr>
      </w:pPr>
    </w:p>
    <w:p w14:paraId="748A9929" w14:textId="42ABF478" w:rsidR="0069377C" w:rsidRDefault="00E470DF" w:rsidP="0080798B">
      <w:pPr>
        <w:jc w:val="center"/>
        <w:rPr>
          <w:rFonts w:ascii="Times New Roman" w:hAnsi="Times New Roman" w:cs="Times New Roman"/>
        </w:rPr>
      </w:pPr>
      <w:r>
        <w:rPr>
          <w:noProof/>
        </w:rPr>
        <w:drawing>
          <wp:anchor distT="0" distB="0" distL="114300" distR="114300" simplePos="0" relativeHeight="251699200" behindDoc="1" locked="0" layoutInCell="1" allowOverlap="1" wp14:anchorId="5706F470" wp14:editId="14174B79">
            <wp:simplePos x="0" y="0"/>
            <wp:positionH relativeFrom="column">
              <wp:posOffset>1066800</wp:posOffset>
            </wp:positionH>
            <wp:positionV relativeFrom="paragraph">
              <wp:posOffset>120650</wp:posOffset>
            </wp:positionV>
            <wp:extent cx="3723640" cy="2428875"/>
            <wp:effectExtent l="0" t="0" r="10160" b="9525"/>
            <wp:wrapNone/>
            <wp:docPr id="21" name="Chart 21">
              <a:extLst xmlns:a="http://schemas.openxmlformats.org/drawingml/2006/main">
                <a:ext uri="{FF2B5EF4-FFF2-40B4-BE49-F238E27FC236}">
                  <a16:creationId xmlns:a16="http://schemas.microsoft.com/office/drawing/2014/main" id="{DAA969D4-2F12-4BCC-A13C-C8A50921E4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page">
              <wp14:pctWidth>0</wp14:pctWidth>
            </wp14:sizeRelH>
            <wp14:sizeRelV relativeFrom="page">
              <wp14:pctHeight>0</wp14:pctHeight>
            </wp14:sizeRelV>
          </wp:anchor>
        </w:drawing>
      </w:r>
    </w:p>
    <w:p w14:paraId="3F28526C" w14:textId="4928F0D5" w:rsidR="0069377C" w:rsidRDefault="0069377C" w:rsidP="0080798B">
      <w:pPr>
        <w:jc w:val="center"/>
        <w:rPr>
          <w:rFonts w:ascii="Times New Roman" w:hAnsi="Times New Roman" w:cs="Times New Roman"/>
        </w:rPr>
      </w:pPr>
    </w:p>
    <w:p w14:paraId="4B6C855C" w14:textId="2B7EE98E" w:rsidR="0069377C" w:rsidRDefault="0069377C" w:rsidP="0080798B">
      <w:pPr>
        <w:jc w:val="center"/>
        <w:rPr>
          <w:rFonts w:ascii="Times New Roman" w:hAnsi="Times New Roman" w:cs="Times New Roman"/>
        </w:rPr>
      </w:pPr>
    </w:p>
    <w:p w14:paraId="7BCB43F2" w14:textId="77777777" w:rsidR="0069377C" w:rsidRDefault="0069377C" w:rsidP="0080798B">
      <w:pPr>
        <w:jc w:val="center"/>
        <w:rPr>
          <w:rFonts w:ascii="Times New Roman" w:hAnsi="Times New Roman" w:cs="Times New Roman"/>
        </w:rPr>
      </w:pPr>
    </w:p>
    <w:p w14:paraId="0A435510" w14:textId="77777777" w:rsidR="0069377C" w:rsidRDefault="0069377C" w:rsidP="0080798B">
      <w:pPr>
        <w:jc w:val="center"/>
        <w:rPr>
          <w:rFonts w:ascii="Times New Roman" w:hAnsi="Times New Roman" w:cs="Times New Roman"/>
        </w:rPr>
      </w:pPr>
    </w:p>
    <w:p w14:paraId="5D58D582" w14:textId="77777777" w:rsidR="0069377C" w:rsidRDefault="0069377C" w:rsidP="0080798B">
      <w:pPr>
        <w:jc w:val="center"/>
        <w:rPr>
          <w:rFonts w:ascii="Times New Roman" w:hAnsi="Times New Roman" w:cs="Times New Roman"/>
        </w:rPr>
      </w:pPr>
    </w:p>
    <w:p w14:paraId="120426F5" w14:textId="77777777" w:rsidR="0069377C" w:rsidRDefault="0069377C" w:rsidP="0080798B">
      <w:pPr>
        <w:jc w:val="center"/>
        <w:rPr>
          <w:rFonts w:ascii="Times New Roman" w:hAnsi="Times New Roman" w:cs="Times New Roman"/>
        </w:rPr>
      </w:pPr>
    </w:p>
    <w:p w14:paraId="616C34DD" w14:textId="77777777" w:rsidR="0069377C" w:rsidRDefault="0069377C" w:rsidP="0080798B">
      <w:pPr>
        <w:jc w:val="center"/>
        <w:rPr>
          <w:rFonts w:ascii="Times New Roman" w:hAnsi="Times New Roman" w:cs="Times New Roman"/>
        </w:rPr>
      </w:pPr>
    </w:p>
    <w:p w14:paraId="7A6EE379" w14:textId="77777777" w:rsidR="0069377C" w:rsidRDefault="0069377C" w:rsidP="0080798B">
      <w:pPr>
        <w:jc w:val="center"/>
        <w:rPr>
          <w:rFonts w:ascii="Times New Roman" w:hAnsi="Times New Roman" w:cs="Times New Roman"/>
        </w:rPr>
      </w:pPr>
    </w:p>
    <w:p w14:paraId="70F8A17F" w14:textId="77777777" w:rsidR="0069377C" w:rsidRDefault="0069377C" w:rsidP="0080798B">
      <w:pPr>
        <w:jc w:val="center"/>
        <w:rPr>
          <w:rFonts w:ascii="Times New Roman" w:hAnsi="Times New Roman" w:cs="Times New Roman"/>
        </w:rPr>
      </w:pPr>
    </w:p>
    <w:p w14:paraId="1739D55A" w14:textId="77777777" w:rsidR="0069377C" w:rsidRDefault="0069377C" w:rsidP="0080798B">
      <w:pPr>
        <w:jc w:val="center"/>
        <w:rPr>
          <w:rFonts w:ascii="Times New Roman" w:hAnsi="Times New Roman" w:cs="Times New Roman"/>
        </w:rPr>
      </w:pPr>
    </w:p>
    <w:p w14:paraId="34C40417" w14:textId="77777777" w:rsidR="0069377C" w:rsidRDefault="0069377C" w:rsidP="0080798B">
      <w:pPr>
        <w:jc w:val="center"/>
        <w:rPr>
          <w:rFonts w:ascii="Times New Roman" w:hAnsi="Times New Roman" w:cs="Times New Roman"/>
        </w:rPr>
      </w:pPr>
    </w:p>
    <w:p w14:paraId="7C0EF0BD" w14:textId="77777777" w:rsidR="0069377C" w:rsidRDefault="0069377C" w:rsidP="0080798B">
      <w:pPr>
        <w:jc w:val="center"/>
        <w:rPr>
          <w:rFonts w:ascii="Times New Roman" w:hAnsi="Times New Roman" w:cs="Times New Roman"/>
        </w:rPr>
      </w:pPr>
    </w:p>
    <w:p w14:paraId="2B4733A8" w14:textId="77777777" w:rsidR="0069377C" w:rsidRDefault="0069377C" w:rsidP="00E470DF">
      <w:pPr>
        <w:rPr>
          <w:rFonts w:ascii="Times New Roman" w:hAnsi="Times New Roman" w:cs="Times New Roman"/>
        </w:rPr>
      </w:pPr>
    </w:p>
    <w:p w14:paraId="4C9D45DC" w14:textId="77777777" w:rsidR="0069377C" w:rsidRDefault="0069377C" w:rsidP="0069377C">
      <w:pPr>
        <w:rPr>
          <w:rFonts w:ascii="Times New Roman" w:hAnsi="Times New Roman" w:cs="Times New Roman"/>
        </w:rPr>
      </w:pPr>
    </w:p>
    <w:p w14:paraId="3C81B83A" w14:textId="77777777" w:rsidR="0069377C" w:rsidRPr="0080798B" w:rsidRDefault="0069377C" w:rsidP="0069377C">
      <w:pPr>
        <w:jc w:val="center"/>
        <w:rPr>
          <w:rFonts w:ascii="Times New Roman" w:hAnsi="Times New Roman" w:cs="Times New Roman"/>
        </w:rPr>
      </w:pPr>
      <w:r w:rsidRPr="0051128F">
        <w:rPr>
          <w:rFonts w:ascii="Times New Roman" w:hAnsi="Times New Roman" w:cs="Times New Roman"/>
        </w:rPr>
        <w:t xml:space="preserve">Source: </w:t>
      </w:r>
      <w:r>
        <w:rPr>
          <w:rFonts w:ascii="Times New Roman" w:hAnsi="Times New Roman" w:cs="Times New Roman"/>
        </w:rPr>
        <w:t>Bloomberg</w:t>
      </w:r>
    </w:p>
    <w:p w14:paraId="04E83409" w14:textId="77777777" w:rsidR="0069377C" w:rsidRDefault="0069377C" w:rsidP="0080798B">
      <w:pPr>
        <w:jc w:val="center"/>
        <w:rPr>
          <w:rFonts w:ascii="Times New Roman" w:hAnsi="Times New Roman" w:cs="Times New Roman"/>
        </w:rPr>
      </w:pPr>
    </w:p>
    <w:p w14:paraId="190E6914" w14:textId="77777777" w:rsidR="0069377C" w:rsidRDefault="0069377C" w:rsidP="0080798B">
      <w:pPr>
        <w:jc w:val="center"/>
        <w:rPr>
          <w:rFonts w:ascii="Times New Roman" w:hAnsi="Times New Roman" w:cs="Times New Roman"/>
        </w:rPr>
      </w:pPr>
    </w:p>
    <w:p w14:paraId="6363B336" w14:textId="5382A064" w:rsidR="0069377C" w:rsidRPr="00E470DF" w:rsidRDefault="0069377C" w:rsidP="00E470DF">
      <w:pPr>
        <w:rPr>
          <w:rFonts w:ascii="Times New Roman" w:hAnsi="Times New Roman" w:cs="Times New Roman"/>
        </w:rPr>
      </w:pPr>
      <w:r>
        <w:rPr>
          <w:rFonts w:ascii="Times New Roman" w:hAnsi="Times New Roman" w:cs="Times New Roman"/>
        </w:rPr>
        <w:t xml:space="preserve">These 3 graphs are outlined to try explain the capital structure of the firm. </w:t>
      </w:r>
      <w:r w:rsidR="00E470DF">
        <w:rPr>
          <w:rFonts w:ascii="Times New Roman" w:hAnsi="Times New Roman" w:cs="Times New Roman"/>
        </w:rPr>
        <w:t xml:space="preserve">The Debt/Equity </w:t>
      </w:r>
      <w:r>
        <w:rPr>
          <w:rFonts w:ascii="Times New Roman" w:hAnsi="Times New Roman" w:cs="Times New Roman"/>
        </w:rPr>
        <w:t>ratio is not constant over time and so WACC cannot be used. However, this is not entirely due to fluctuations in the issued debt, but a result of the volatility of the equity value of the corporation. The industry has deleveraged in recent years as the charter rates remained below breakeven. Therefore, companies could only improve profitability by adjusting the breakeven value because the charter rates are determined by the marketplace. This explains the reduction in debt outstanding from 2017 – present.</w:t>
      </w:r>
      <w:r w:rsidR="00E470DF">
        <w:rPr>
          <w:rFonts w:ascii="Times New Roman" w:hAnsi="Times New Roman" w:cs="Times New Roman"/>
        </w:rPr>
        <w:t xml:space="preserve"> </w:t>
      </w:r>
      <w:r>
        <w:rPr>
          <w:rFonts w:ascii="Times New Roman" w:hAnsi="Times New Roman" w:cs="Times New Roman"/>
        </w:rPr>
        <w:t xml:space="preserve">However, the firm has started to expand its fleet in 2022 due to improved market conditions. Whilst these ships were financed through cash and equity, we believe this cannot be maintained. As rates begin to normalize, </w:t>
      </w:r>
      <w:r w:rsidR="00E470DF">
        <w:rPr>
          <w:rFonts w:ascii="Times New Roman" w:hAnsi="Times New Roman" w:cs="Times New Roman"/>
        </w:rPr>
        <w:t>less free cash will be on company balance sheets to attribute to fleet expansion.</w:t>
      </w:r>
      <w:r>
        <w:rPr>
          <w:rFonts w:ascii="Times New Roman" w:hAnsi="Times New Roman" w:cs="Times New Roman"/>
        </w:rPr>
        <w:t xml:space="preserve"> Since the company has now started to buy more ships, we assume that the debt levels will gradually rise back to the 2017 levels</w:t>
      </w:r>
      <w:bookmarkStart w:id="16" w:name="_Toc118052805"/>
      <w:bookmarkStart w:id="17" w:name="_Toc121096871"/>
      <w:bookmarkStart w:id="18" w:name="_Toc118038939"/>
      <w:r w:rsidR="00E470DF">
        <w:rPr>
          <w:rFonts w:ascii="Times New Roman" w:hAnsi="Times New Roman" w:cs="Times New Roman"/>
        </w:rPr>
        <w:t xml:space="preserve"> as they aim to reach 2017 fleet sizes. The target debt amount has consequently been assumed as $625mn which is the average of the total debt of the company for year 2017. Therefore, APV method is used with a target debt value of $625mn.</w:t>
      </w:r>
    </w:p>
    <w:p w14:paraId="4474B28C" w14:textId="5CB72690" w:rsidR="0069377C" w:rsidRDefault="0069377C" w:rsidP="0069377C"/>
    <w:p w14:paraId="794F58B2" w14:textId="740AA490" w:rsidR="00E470DF" w:rsidRDefault="00E470DF" w:rsidP="0069377C"/>
    <w:p w14:paraId="57582AE9" w14:textId="6C731D8F" w:rsidR="00E470DF" w:rsidRDefault="00E470DF" w:rsidP="0069377C"/>
    <w:p w14:paraId="71877A36" w14:textId="77777777" w:rsidR="00E470DF" w:rsidRPr="0069377C" w:rsidRDefault="00E470DF" w:rsidP="0069377C"/>
    <w:p w14:paraId="00D150F2" w14:textId="1BBAABF6" w:rsidR="005F2CCD" w:rsidRDefault="005F2CCD" w:rsidP="00E050E3">
      <w:pPr>
        <w:pStyle w:val="Heading2"/>
      </w:pPr>
      <w:r w:rsidRPr="00E050E3">
        <w:lastRenderedPageBreak/>
        <w:t>Risk</w:t>
      </w:r>
      <w:r>
        <w:t xml:space="preserve"> Free Rates</w:t>
      </w:r>
      <w:bookmarkEnd w:id="16"/>
      <w:bookmarkEnd w:id="17"/>
    </w:p>
    <w:p w14:paraId="6AC51F41" w14:textId="77777777" w:rsidR="005F2CCD" w:rsidRPr="005F2CCD" w:rsidRDefault="005F2CCD" w:rsidP="005F2CCD"/>
    <w:p w14:paraId="6266B6A9" w14:textId="2DD010AC" w:rsidR="005F2CCD" w:rsidRDefault="005F2CCD" w:rsidP="005F2CCD">
      <w:r w:rsidRPr="0051128F">
        <w:t>The short term and the long-term risk-free rates are the current 5 year and 10-year US Treasury bill rates</w:t>
      </w:r>
      <w:r>
        <w:t xml:space="preserve"> (As of </w:t>
      </w:r>
      <w:r w:rsidR="007F3429">
        <w:t>2</w:t>
      </w:r>
      <w:r w:rsidR="007F3429" w:rsidRPr="007F3429">
        <w:rPr>
          <w:vertAlign w:val="superscript"/>
        </w:rPr>
        <w:t>nd</w:t>
      </w:r>
      <w:r w:rsidR="007F3429">
        <w:t xml:space="preserve"> December</w:t>
      </w:r>
      <w:r>
        <w:t xml:space="preserve"> 2022)</w:t>
      </w:r>
      <w:r w:rsidRPr="0051128F">
        <w:t>. These happen to be 3.</w:t>
      </w:r>
      <w:r w:rsidR="007F3429">
        <w:t>28</w:t>
      </w:r>
      <w:r w:rsidRPr="0051128F">
        <w:t xml:space="preserve">% and </w:t>
      </w:r>
      <w:r w:rsidR="007F3429">
        <w:t>2.61</w:t>
      </w:r>
      <w:r w:rsidRPr="0051128F">
        <w:t>%.</w:t>
      </w:r>
      <w:r>
        <w:t xml:space="preserve"> An adjustment for the default risk premium of 0.5% and 1% respectively is subtracted. This gives the following results:</w:t>
      </w:r>
    </w:p>
    <w:p w14:paraId="221C6F34" w14:textId="318570D9" w:rsidR="00404BA8" w:rsidRDefault="00404BA8" w:rsidP="00404BA8">
      <w:pPr>
        <w:jc w:val="center"/>
      </w:pPr>
      <w:r>
        <w:t>Source: CNBC Treasury Yields</w:t>
      </w:r>
    </w:p>
    <w:p w14:paraId="7410470D" w14:textId="77777777" w:rsidR="005F2CCD" w:rsidRDefault="005F2CCD" w:rsidP="005F2CCD"/>
    <w:tbl>
      <w:tblPr>
        <w:tblStyle w:val="TableGrid"/>
        <w:tblW w:w="0" w:type="auto"/>
        <w:tblLook w:val="04A0" w:firstRow="1" w:lastRow="0" w:firstColumn="1" w:lastColumn="0" w:noHBand="0" w:noVBand="1"/>
      </w:tblPr>
      <w:tblGrid>
        <w:gridCol w:w="4505"/>
        <w:gridCol w:w="4505"/>
      </w:tblGrid>
      <w:tr w:rsidR="005F2CCD" w14:paraId="0C103F36" w14:textId="77777777" w:rsidTr="005F2CCD">
        <w:tc>
          <w:tcPr>
            <w:tcW w:w="4505" w:type="dxa"/>
          </w:tcPr>
          <w:p w14:paraId="514AA58D" w14:textId="1450FBA8" w:rsidR="005F2CCD" w:rsidRPr="009F6B09" w:rsidRDefault="005F2CCD" w:rsidP="005F2CCD">
            <w:pPr>
              <w:jc w:val="center"/>
              <w:rPr>
                <w:color w:val="2F5496" w:themeColor="accent1" w:themeShade="BF"/>
              </w:rPr>
            </w:pPr>
            <w:r w:rsidRPr="009F6B09">
              <w:rPr>
                <w:color w:val="2F5496" w:themeColor="accent1" w:themeShade="BF"/>
              </w:rPr>
              <w:t>Short Term Risk Free Rate</w:t>
            </w:r>
          </w:p>
        </w:tc>
        <w:tc>
          <w:tcPr>
            <w:tcW w:w="4505" w:type="dxa"/>
          </w:tcPr>
          <w:p w14:paraId="37BDEBEA" w14:textId="6D84F02F" w:rsidR="005F2CCD" w:rsidRPr="009F6B09" w:rsidRDefault="005F2CCD" w:rsidP="005F2CCD">
            <w:pPr>
              <w:jc w:val="center"/>
              <w:rPr>
                <w:color w:val="2F5496" w:themeColor="accent1" w:themeShade="BF"/>
              </w:rPr>
            </w:pPr>
            <w:r w:rsidRPr="009F6B09">
              <w:rPr>
                <w:color w:val="2F5496" w:themeColor="accent1" w:themeShade="BF"/>
              </w:rPr>
              <w:t>3.</w:t>
            </w:r>
            <w:r w:rsidR="007F3429">
              <w:rPr>
                <w:color w:val="2F5496" w:themeColor="accent1" w:themeShade="BF"/>
              </w:rPr>
              <w:t>28</w:t>
            </w:r>
            <w:r w:rsidRPr="009F6B09">
              <w:rPr>
                <w:color w:val="2F5496" w:themeColor="accent1" w:themeShade="BF"/>
              </w:rPr>
              <w:t>%</w:t>
            </w:r>
          </w:p>
        </w:tc>
      </w:tr>
      <w:tr w:rsidR="005F2CCD" w14:paraId="01B6B80D" w14:textId="77777777" w:rsidTr="005F2CCD">
        <w:tc>
          <w:tcPr>
            <w:tcW w:w="4505" w:type="dxa"/>
          </w:tcPr>
          <w:p w14:paraId="6655ADDE" w14:textId="59479B1F" w:rsidR="005F2CCD" w:rsidRPr="009F6B09" w:rsidRDefault="005F2CCD" w:rsidP="005F2CCD">
            <w:pPr>
              <w:jc w:val="center"/>
              <w:rPr>
                <w:color w:val="2F5496" w:themeColor="accent1" w:themeShade="BF"/>
              </w:rPr>
            </w:pPr>
            <w:r w:rsidRPr="009F6B09">
              <w:rPr>
                <w:color w:val="2F5496" w:themeColor="accent1" w:themeShade="BF"/>
              </w:rPr>
              <w:t>Long Term Risk Free Rate</w:t>
            </w:r>
          </w:p>
        </w:tc>
        <w:tc>
          <w:tcPr>
            <w:tcW w:w="4505" w:type="dxa"/>
          </w:tcPr>
          <w:p w14:paraId="7FFC00C6" w14:textId="6E8F8867" w:rsidR="005F2CCD" w:rsidRPr="009F6B09" w:rsidRDefault="005F2CCD" w:rsidP="005F2CCD">
            <w:pPr>
              <w:jc w:val="center"/>
              <w:rPr>
                <w:color w:val="2F5496" w:themeColor="accent1" w:themeShade="BF"/>
              </w:rPr>
            </w:pPr>
            <w:r w:rsidRPr="009F6B09">
              <w:rPr>
                <w:color w:val="2F5496" w:themeColor="accent1" w:themeShade="BF"/>
              </w:rPr>
              <w:t>2.</w:t>
            </w:r>
            <w:r w:rsidR="00AF275C">
              <w:rPr>
                <w:color w:val="2F5496" w:themeColor="accent1" w:themeShade="BF"/>
              </w:rPr>
              <w:t>61</w:t>
            </w:r>
            <w:r w:rsidRPr="009F6B09">
              <w:rPr>
                <w:color w:val="2F5496" w:themeColor="accent1" w:themeShade="BF"/>
              </w:rPr>
              <w:t>%</w:t>
            </w:r>
          </w:p>
        </w:tc>
      </w:tr>
    </w:tbl>
    <w:p w14:paraId="31606844" w14:textId="5D45916B" w:rsidR="005F2CCD" w:rsidRDefault="005F2CCD" w:rsidP="00782A26">
      <w:pPr>
        <w:rPr>
          <w:rFonts w:ascii="Times New Roman" w:hAnsi="Times New Roman" w:cs="Times New Roman"/>
        </w:rPr>
      </w:pPr>
    </w:p>
    <w:p w14:paraId="50E898B3" w14:textId="77777777" w:rsidR="00FB1BA6" w:rsidRDefault="00FB1BA6" w:rsidP="00782A26">
      <w:pPr>
        <w:rPr>
          <w:rFonts w:ascii="Times New Roman" w:hAnsi="Times New Roman" w:cs="Times New Roman"/>
        </w:rPr>
      </w:pPr>
    </w:p>
    <w:p w14:paraId="652B8A8C" w14:textId="1CDEDAA2" w:rsidR="005F2CCD" w:rsidRDefault="005F2CCD" w:rsidP="005F2CCD">
      <w:pPr>
        <w:pStyle w:val="Heading2"/>
      </w:pPr>
      <w:bookmarkStart w:id="19" w:name="_Toc121096872"/>
      <w:r>
        <w:t>Return on Market</w:t>
      </w:r>
      <w:bookmarkEnd w:id="19"/>
    </w:p>
    <w:p w14:paraId="0E4537DB" w14:textId="2C762FA0" w:rsidR="005F2CCD" w:rsidRDefault="005F2CCD" w:rsidP="00782A26">
      <w:pPr>
        <w:rPr>
          <w:rFonts w:ascii="Times New Roman" w:hAnsi="Times New Roman" w:cs="Times New Roman"/>
        </w:rPr>
      </w:pPr>
    </w:p>
    <w:p w14:paraId="61840354" w14:textId="7DC1307D" w:rsidR="005F2CCD" w:rsidRPr="00AF275C" w:rsidRDefault="005F2CCD" w:rsidP="00AF275C">
      <w:pPr>
        <w:rPr>
          <w:rFonts w:ascii="Times New Roman" w:hAnsi="Times New Roman" w:cs="Times New Roman"/>
        </w:rPr>
      </w:pPr>
      <w:r>
        <w:rPr>
          <w:rFonts w:ascii="Times New Roman" w:hAnsi="Times New Roman" w:cs="Times New Roman"/>
        </w:rPr>
        <w:t xml:space="preserve">To calculate the return on market proxy we examined the ownership structure of </w:t>
      </w:r>
      <w:r w:rsidR="00AF275C">
        <w:rPr>
          <w:rFonts w:ascii="Times New Roman" w:hAnsi="Times New Roman" w:cs="Times New Roman"/>
        </w:rPr>
        <w:t>Diana Shipping</w:t>
      </w:r>
      <w:r>
        <w:rPr>
          <w:rFonts w:ascii="Times New Roman" w:hAnsi="Times New Roman" w:cs="Times New Roman"/>
        </w:rPr>
        <w:t xml:space="preserve">. </w:t>
      </w:r>
      <w:r w:rsidR="00E65202">
        <w:rPr>
          <w:rFonts w:ascii="Times New Roman" w:hAnsi="Times New Roman" w:cs="Times New Roman"/>
        </w:rPr>
        <w:t>The ownership structure was weighing more in US.</w:t>
      </w:r>
      <w:r w:rsidR="00BF1F67">
        <w:rPr>
          <w:rFonts w:ascii="Times New Roman" w:hAnsi="Times New Roman" w:cs="Times New Roman"/>
        </w:rPr>
        <w:t xml:space="preserve"> </w:t>
      </w:r>
      <w:r>
        <w:rPr>
          <w:rFonts w:ascii="Times New Roman" w:hAnsi="Times New Roman" w:cs="Times New Roman"/>
        </w:rPr>
        <w:t xml:space="preserve"> </w:t>
      </w:r>
      <w:bookmarkEnd w:id="18"/>
    </w:p>
    <w:p w14:paraId="70D6F2CB" w14:textId="06619A39" w:rsidR="005F2CCD" w:rsidRDefault="005F2CCD" w:rsidP="005F2CCD"/>
    <w:p w14:paraId="696625FE" w14:textId="2A06552B" w:rsidR="00BF1F67" w:rsidRDefault="00BF1F67" w:rsidP="005F2CCD">
      <w:pPr>
        <w:rPr>
          <w:rFonts w:ascii="Times New Roman" w:hAnsi="Times New Roman" w:cs="Times New Roman"/>
        </w:rPr>
      </w:pPr>
      <w:r>
        <w:rPr>
          <w:rFonts w:ascii="Times New Roman" w:hAnsi="Times New Roman" w:cs="Times New Roman"/>
        </w:rPr>
        <w:t>Therefore, despite having global operations we chose Wilshire 5000 Index as our return on market proxy.</w:t>
      </w:r>
    </w:p>
    <w:p w14:paraId="74A74539" w14:textId="4FFE0F8A" w:rsidR="00BF1F67" w:rsidRDefault="00BF1F67" w:rsidP="005F2CCD">
      <w:pPr>
        <w:rPr>
          <w:rFonts w:ascii="Times New Roman" w:hAnsi="Times New Roman" w:cs="Times New Roman"/>
        </w:rPr>
      </w:pPr>
      <w:r w:rsidRPr="00863DAC">
        <w:rPr>
          <w:noProof/>
        </w:rPr>
        <w:drawing>
          <wp:anchor distT="0" distB="0" distL="114300" distR="114300" simplePos="0" relativeHeight="251669504" behindDoc="1" locked="0" layoutInCell="1" allowOverlap="1" wp14:anchorId="21F2FA11" wp14:editId="03DDD97C">
            <wp:simplePos x="0" y="0"/>
            <wp:positionH relativeFrom="column">
              <wp:posOffset>337820</wp:posOffset>
            </wp:positionH>
            <wp:positionV relativeFrom="paragraph">
              <wp:posOffset>101591</wp:posOffset>
            </wp:positionV>
            <wp:extent cx="5204544" cy="1528263"/>
            <wp:effectExtent l="0" t="0" r="2540" b="0"/>
            <wp:wrapNone/>
            <wp:docPr id="57" name="Picture 5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Table&#10;&#10;Description automatically generated"/>
                    <pic:cNvPicPr/>
                  </pic:nvPicPr>
                  <pic:blipFill>
                    <a:blip r:embed="rId35">
                      <a:extLst>
                        <a:ext uri="{28A0092B-C50C-407E-A947-70E740481C1C}">
                          <a14:useLocalDpi xmlns:a14="http://schemas.microsoft.com/office/drawing/2010/main" val="0"/>
                        </a:ext>
                      </a:extLst>
                    </a:blip>
                    <a:stretch>
                      <a:fillRect/>
                    </a:stretch>
                  </pic:blipFill>
                  <pic:spPr>
                    <a:xfrm>
                      <a:off x="0" y="0"/>
                      <a:ext cx="5204544" cy="1528263"/>
                    </a:xfrm>
                    <a:prstGeom prst="rect">
                      <a:avLst/>
                    </a:prstGeom>
                  </pic:spPr>
                </pic:pic>
              </a:graphicData>
            </a:graphic>
            <wp14:sizeRelH relativeFrom="page">
              <wp14:pctWidth>0</wp14:pctWidth>
            </wp14:sizeRelH>
            <wp14:sizeRelV relativeFrom="page">
              <wp14:pctHeight>0</wp14:pctHeight>
            </wp14:sizeRelV>
          </wp:anchor>
        </w:drawing>
      </w:r>
    </w:p>
    <w:p w14:paraId="31CE2D89" w14:textId="00348D50" w:rsidR="00BF1F67" w:rsidRDefault="00BF1F67" w:rsidP="005F2CCD"/>
    <w:p w14:paraId="7B1DE796" w14:textId="3D5C5D32" w:rsidR="00BF1F67" w:rsidRPr="00BF1F67" w:rsidRDefault="00BF1F67" w:rsidP="00BF1F67"/>
    <w:p w14:paraId="1B7009C7" w14:textId="3433DD21" w:rsidR="00BF1F67" w:rsidRPr="00BF1F67" w:rsidRDefault="00BF1F67" w:rsidP="00BF1F67"/>
    <w:p w14:paraId="44B6F98E" w14:textId="3A9089C3" w:rsidR="00BF1F67" w:rsidRPr="00BF1F67" w:rsidRDefault="00BF1F67" w:rsidP="00BF1F67"/>
    <w:p w14:paraId="5601DB20" w14:textId="204039F0" w:rsidR="00BF1F67" w:rsidRPr="00BF1F67" w:rsidRDefault="00BF1F67" w:rsidP="00BF1F67"/>
    <w:p w14:paraId="5AFB6176" w14:textId="78D6CB53" w:rsidR="00BF1F67" w:rsidRPr="00BF1F67" w:rsidRDefault="00BF1F67" w:rsidP="00BF1F67"/>
    <w:p w14:paraId="634318B9" w14:textId="20186EDD" w:rsidR="00BF1F67" w:rsidRPr="00BF1F67" w:rsidRDefault="00BF1F67" w:rsidP="00BF1F67"/>
    <w:p w14:paraId="71ECFA8E" w14:textId="77777777" w:rsidR="00BF1F67" w:rsidRDefault="00BF1F67" w:rsidP="00BF1F67">
      <w:pPr>
        <w:jc w:val="center"/>
      </w:pPr>
    </w:p>
    <w:p w14:paraId="6926E640" w14:textId="2F4129CA" w:rsidR="00BF1F67" w:rsidRDefault="00BF1F67" w:rsidP="00BF1F67">
      <w:pPr>
        <w:jc w:val="center"/>
      </w:pPr>
      <w:r>
        <w:t xml:space="preserve">Source: FT Wilshire 5000 Index Series; June 30 2022 </w:t>
      </w:r>
    </w:p>
    <w:p w14:paraId="7F16E9B9" w14:textId="2D115BA3" w:rsidR="00BF1F67" w:rsidRDefault="00BF1F67" w:rsidP="0080798B">
      <w:pPr>
        <w:tabs>
          <w:tab w:val="left" w:pos="1144"/>
        </w:tabs>
      </w:pPr>
    </w:p>
    <w:p w14:paraId="78B3606C" w14:textId="77777777" w:rsidR="0080798B" w:rsidRDefault="0080798B">
      <w:pPr>
        <w:rPr>
          <w:rFonts w:asciiTheme="majorHAnsi" w:eastAsiaTheme="majorEastAsia" w:hAnsiTheme="majorHAnsi" w:cstheme="majorBidi"/>
          <w:color w:val="2F5496" w:themeColor="accent1" w:themeShade="BF"/>
          <w:sz w:val="26"/>
          <w:szCs w:val="26"/>
        </w:rPr>
      </w:pPr>
      <w:bookmarkStart w:id="20" w:name="_Toc121096873"/>
      <w:bookmarkStart w:id="21" w:name="_Toc118038945"/>
      <w:bookmarkStart w:id="22" w:name="_Toc118052809"/>
      <w:r>
        <w:br w:type="page"/>
      </w:r>
    </w:p>
    <w:p w14:paraId="426ED139" w14:textId="514900E0" w:rsidR="00BF1F67" w:rsidRDefault="00BF1F67" w:rsidP="00BF1F67">
      <w:pPr>
        <w:pStyle w:val="Heading2"/>
      </w:pPr>
      <w:r>
        <w:lastRenderedPageBreak/>
        <w:t>Beta Estimation:</w:t>
      </w:r>
      <w:bookmarkEnd w:id="20"/>
    </w:p>
    <w:p w14:paraId="48BD6853" w14:textId="5DC115C1" w:rsidR="005E4B08" w:rsidRDefault="005E4B08" w:rsidP="003B48CB">
      <w:r>
        <w:t xml:space="preserve">Using the historical prices, we calculated the rolling betas. The betas were averaging around 1.2 which also was close to the industry beta of 1.2. Therefore, beta was </w:t>
      </w:r>
      <w:r w:rsidR="00390B23">
        <w:t>used</w:t>
      </w:r>
      <w:r>
        <w:t xml:space="preserve"> as 1.2.</w:t>
      </w:r>
    </w:p>
    <w:p w14:paraId="48ACA8E1" w14:textId="398B056E" w:rsidR="005E4B08" w:rsidRDefault="005E4B08" w:rsidP="00E050E3"/>
    <w:p w14:paraId="7DAC92A2" w14:textId="255C2D2C" w:rsidR="00B76B50" w:rsidRDefault="0080798B" w:rsidP="00B76B50">
      <w:r>
        <w:rPr>
          <w:noProof/>
        </w:rPr>
        <w:drawing>
          <wp:anchor distT="0" distB="0" distL="114300" distR="114300" simplePos="0" relativeHeight="251693056" behindDoc="1" locked="0" layoutInCell="1" allowOverlap="1" wp14:anchorId="250234D4" wp14:editId="1C2807DC">
            <wp:simplePos x="0" y="0"/>
            <wp:positionH relativeFrom="column">
              <wp:posOffset>1015626</wp:posOffset>
            </wp:positionH>
            <wp:positionV relativeFrom="paragraph">
              <wp:posOffset>35672</wp:posOffset>
            </wp:positionV>
            <wp:extent cx="3771900" cy="1898650"/>
            <wp:effectExtent l="0" t="0" r="0" b="6350"/>
            <wp:wrapNone/>
            <wp:docPr id="12" name="Chart 12">
              <a:extLst xmlns:a="http://schemas.openxmlformats.org/drawingml/2006/main">
                <a:ext uri="{FF2B5EF4-FFF2-40B4-BE49-F238E27FC236}">
                  <a16:creationId xmlns:a16="http://schemas.microsoft.com/office/drawing/2014/main" id="{71390ADF-7901-4871-AE4C-F7C91671DD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page">
              <wp14:pctWidth>0</wp14:pctWidth>
            </wp14:sizeRelH>
            <wp14:sizeRelV relativeFrom="page">
              <wp14:pctHeight>0</wp14:pctHeight>
            </wp14:sizeRelV>
          </wp:anchor>
        </w:drawing>
      </w:r>
    </w:p>
    <w:p w14:paraId="00896D90" w14:textId="7BD422D6" w:rsidR="00B76B50" w:rsidRDefault="00B76B50" w:rsidP="00B76B50"/>
    <w:p w14:paraId="1449722B" w14:textId="56B23BF0" w:rsidR="00B76B50" w:rsidRDefault="00B76B50" w:rsidP="00B76B50"/>
    <w:p w14:paraId="0EB24161" w14:textId="36D09763" w:rsidR="00B76B50" w:rsidRDefault="00B76B50" w:rsidP="00B76B50"/>
    <w:p w14:paraId="7B4C8A0D" w14:textId="79EBBF98" w:rsidR="00B76B50" w:rsidRDefault="00B76B50" w:rsidP="00B76B50"/>
    <w:p w14:paraId="64221956" w14:textId="014F6B60" w:rsidR="00B76B50" w:rsidRDefault="00B76B50" w:rsidP="00B76B50"/>
    <w:p w14:paraId="5ED6E4F1" w14:textId="40AB863E" w:rsidR="00B76B50" w:rsidRDefault="00B76B50" w:rsidP="00B76B50"/>
    <w:p w14:paraId="0F49BE96" w14:textId="26EB49E3" w:rsidR="00B76B50" w:rsidRDefault="00B76B50" w:rsidP="00B76B50"/>
    <w:p w14:paraId="2B7E5E36" w14:textId="0E3ECE57" w:rsidR="00B76B50" w:rsidRDefault="00B76B50" w:rsidP="00B76B50"/>
    <w:p w14:paraId="1A7E8E4A" w14:textId="20C97609" w:rsidR="00B76B50" w:rsidRDefault="00B76B50" w:rsidP="00B76B50"/>
    <w:p w14:paraId="1CB95860" w14:textId="77777777" w:rsidR="0080798B" w:rsidRDefault="0080798B" w:rsidP="0080798B"/>
    <w:p w14:paraId="40DF537F" w14:textId="12D5520C" w:rsidR="006A3474" w:rsidRPr="006A3474" w:rsidRDefault="006A3474" w:rsidP="0080798B">
      <w:pPr>
        <w:jc w:val="center"/>
      </w:pPr>
      <w:r>
        <w:t>Source: Own Calculations</w:t>
      </w:r>
    </w:p>
    <w:p w14:paraId="36772024" w14:textId="21C5D27D" w:rsidR="00BF1F67" w:rsidRDefault="00BF1F67" w:rsidP="00E050E3">
      <w:pPr>
        <w:pStyle w:val="Heading2"/>
      </w:pPr>
      <w:bookmarkStart w:id="23" w:name="_Toc121096874"/>
      <w:r>
        <w:t>Cost of Equity</w:t>
      </w:r>
      <w:bookmarkEnd w:id="21"/>
      <w:bookmarkEnd w:id="22"/>
      <w:bookmarkEnd w:id="23"/>
    </w:p>
    <w:p w14:paraId="1318E058" w14:textId="77777777" w:rsidR="00BF1F67" w:rsidRPr="0051128F" w:rsidRDefault="00BF1F67" w:rsidP="00BF1F67">
      <w:pPr>
        <w:rPr>
          <w:rFonts w:ascii="Times New Roman" w:hAnsi="Times New Roman" w:cs="Times New Roman"/>
        </w:rPr>
      </w:pPr>
      <w:r w:rsidRPr="0051128F">
        <w:rPr>
          <w:rFonts w:ascii="Times New Roman" w:hAnsi="Times New Roman" w:cs="Times New Roman"/>
        </w:rPr>
        <w:t>The cost of equity has been arrived at using the CAPM equation of calculating the return on equity given by</w:t>
      </w:r>
    </w:p>
    <w:p w14:paraId="3C634C96" w14:textId="77777777" w:rsidR="00BF1F67" w:rsidRPr="0051128F" w:rsidRDefault="00000000" w:rsidP="00BF1F67">
      <w:pP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e</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f</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e</m:t>
              </m:r>
            </m:sub>
          </m:sSub>
          <m:d>
            <m:dPr>
              <m:ctrlPr>
                <w:rPr>
                  <w:rFonts w:ascii="Cambria Math" w:hAnsi="Cambria Math" w:cs="Times New Roman"/>
                  <w:i/>
                </w:rPr>
              </m:ctrlPr>
            </m:dPr>
            <m:e>
              <m:r>
                <w:rPr>
                  <w:rFonts w:ascii="Cambria Math" w:hAnsi="Cambria Math" w:cs="Times New Roman"/>
                </w:rPr>
                <m:t>Rm-</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f</m:t>
                  </m:r>
                </m:sub>
              </m:sSub>
            </m:e>
          </m:d>
        </m:oMath>
      </m:oMathPara>
    </w:p>
    <w:p w14:paraId="487DEE4F" w14:textId="77777777" w:rsidR="00BF1F67" w:rsidRDefault="00BF1F67" w:rsidP="00BF1F67">
      <w:pPr>
        <w:rPr>
          <w:rFonts w:ascii="Times New Roman" w:hAnsi="Times New Roman" w:cs="Times New Roman"/>
        </w:rPr>
      </w:pPr>
    </w:p>
    <w:p w14:paraId="222C220B" w14:textId="78467E6C" w:rsidR="00BF1F67" w:rsidRDefault="00BF1F67" w:rsidP="00BF1F67">
      <w:pPr>
        <w:rPr>
          <w:rFonts w:ascii="Times New Roman" w:hAnsi="Times New Roman" w:cs="Times New Roman"/>
        </w:rPr>
      </w:pPr>
      <w:r>
        <w:rPr>
          <w:rFonts w:ascii="Times New Roman" w:hAnsi="Times New Roman" w:cs="Times New Roman"/>
        </w:rPr>
        <w:t xml:space="preserve">The cost of equity has been calculated as </w:t>
      </w:r>
      <w:r w:rsidR="00375C42">
        <w:rPr>
          <w:rFonts w:ascii="Times New Roman" w:hAnsi="Times New Roman" w:cs="Times New Roman"/>
        </w:rPr>
        <w:t>7.</w:t>
      </w:r>
      <w:r w:rsidR="005E4B08">
        <w:rPr>
          <w:rFonts w:ascii="Times New Roman" w:hAnsi="Times New Roman" w:cs="Times New Roman"/>
        </w:rPr>
        <w:t>08</w:t>
      </w:r>
      <w:r w:rsidR="00375C42">
        <w:rPr>
          <w:rFonts w:ascii="Times New Roman" w:hAnsi="Times New Roman" w:cs="Times New Roman"/>
        </w:rPr>
        <w:t xml:space="preserve"> </w:t>
      </w:r>
      <w:r>
        <w:rPr>
          <w:rFonts w:ascii="Times New Roman" w:hAnsi="Times New Roman" w:cs="Times New Roman"/>
        </w:rPr>
        <w:t xml:space="preserve">% </w:t>
      </w:r>
    </w:p>
    <w:p w14:paraId="0DF558C1" w14:textId="11BC8D8D" w:rsidR="00BF1F67" w:rsidRDefault="00BF1F67" w:rsidP="00BF1F67">
      <w:pPr>
        <w:tabs>
          <w:tab w:val="left" w:pos="1144"/>
        </w:tabs>
      </w:pPr>
    </w:p>
    <w:p w14:paraId="098F053C" w14:textId="5EB0245C" w:rsidR="0043455D" w:rsidRDefault="0043455D" w:rsidP="00BF1F67">
      <w:pPr>
        <w:tabs>
          <w:tab w:val="left" w:pos="1144"/>
        </w:tabs>
      </w:pPr>
    </w:p>
    <w:p w14:paraId="266FD59C" w14:textId="079FE4ED" w:rsidR="00C068EE" w:rsidRDefault="00C068EE" w:rsidP="00C068EE">
      <w:pPr>
        <w:pStyle w:val="Heading2"/>
      </w:pPr>
      <w:r>
        <w:t>Perpetual Growth</w:t>
      </w:r>
    </w:p>
    <w:p w14:paraId="1C1E0907" w14:textId="474D1C79" w:rsidR="00C068EE" w:rsidRDefault="00C068EE" w:rsidP="00C068EE"/>
    <w:p w14:paraId="744A1A02" w14:textId="664C9CE6" w:rsidR="00C068EE" w:rsidRDefault="00C068EE" w:rsidP="00C068EE">
      <w:r>
        <w:t>PWC complied a report using estimates from 6 industry experts on the long run growth of global GDP. Given the strong R^2 between marine shipping and changes in macroenvironment, this seemed the best estimate to approximate Diana Shipping Corps perpetual growth rate. The report estimates that growth until 2050 will globally average about 2.6% p.a.</w:t>
      </w:r>
    </w:p>
    <w:p w14:paraId="242C2422" w14:textId="3A97A3BD" w:rsidR="00C068EE" w:rsidRPr="00C068EE" w:rsidRDefault="00C068EE" w:rsidP="00C068EE">
      <w:pPr>
        <w:jc w:val="center"/>
      </w:pPr>
      <w:r>
        <w:t xml:space="preserve">Source: PWC </w:t>
      </w:r>
    </w:p>
    <w:p w14:paraId="697D3D07" w14:textId="77777777" w:rsidR="00FB1BA6" w:rsidRDefault="00FB1BA6" w:rsidP="00FB1BA6"/>
    <w:p w14:paraId="1A48C5F4" w14:textId="77777777" w:rsidR="0080798B" w:rsidRDefault="0080798B">
      <w:pPr>
        <w:rPr>
          <w:rFonts w:asciiTheme="majorHAnsi" w:eastAsiaTheme="majorEastAsia" w:hAnsiTheme="majorHAnsi" w:cstheme="majorBidi"/>
          <w:color w:val="2F5496" w:themeColor="accent1" w:themeShade="BF"/>
          <w:sz w:val="32"/>
          <w:szCs w:val="32"/>
        </w:rPr>
      </w:pPr>
      <w:bookmarkStart w:id="24" w:name="_Toc121096875"/>
      <w:r>
        <w:br w:type="page"/>
      </w:r>
    </w:p>
    <w:p w14:paraId="0F5CB563" w14:textId="14870147" w:rsidR="00DE6CD9" w:rsidRPr="00FB1BA6" w:rsidRDefault="00DE6CD9" w:rsidP="00FB1BA6">
      <w:pPr>
        <w:pStyle w:val="Heading1"/>
        <w:rPr>
          <w:sz w:val="26"/>
          <w:szCs w:val="26"/>
        </w:rPr>
      </w:pPr>
      <w:r>
        <w:lastRenderedPageBreak/>
        <w:t>Valuation Summary</w:t>
      </w:r>
      <w:bookmarkEnd w:id="24"/>
    </w:p>
    <w:p w14:paraId="7D4AF8B2" w14:textId="4033C7DD" w:rsidR="00DE6CD9" w:rsidRDefault="00DE6CD9" w:rsidP="00DE6CD9"/>
    <w:p w14:paraId="6C476D7F" w14:textId="2516845B" w:rsidR="00DE6CD9" w:rsidRDefault="00DE6CD9" w:rsidP="00DE6CD9">
      <w:pPr>
        <w:rPr>
          <w:lang w:val="en-US"/>
        </w:rPr>
      </w:pPr>
      <w:r>
        <w:rPr>
          <w:lang w:val="en-US"/>
        </w:rPr>
        <w:t xml:space="preserve">The final valuation of </w:t>
      </w:r>
      <w:r w:rsidR="007B65C1">
        <w:rPr>
          <w:lang w:val="en-US"/>
        </w:rPr>
        <w:t>Diana Shipping</w:t>
      </w:r>
      <w:r>
        <w:rPr>
          <w:lang w:val="en-US"/>
        </w:rPr>
        <w:t xml:space="preserve"> can be summarized as follows:</w:t>
      </w:r>
    </w:p>
    <w:tbl>
      <w:tblPr>
        <w:tblW w:w="10235" w:type="dxa"/>
        <w:tblInd w:w="-616" w:type="dxa"/>
        <w:tblLook w:val="04A0" w:firstRow="1" w:lastRow="0" w:firstColumn="1" w:lastColumn="0" w:noHBand="0" w:noVBand="1"/>
      </w:tblPr>
      <w:tblGrid>
        <w:gridCol w:w="1838"/>
        <w:gridCol w:w="1390"/>
        <w:gridCol w:w="1162"/>
        <w:gridCol w:w="1053"/>
        <w:gridCol w:w="1073"/>
        <w:gridCol w:w="1276"/>
        <w:gridCol w:w="1053"/>
        <w:gridCol w:w="1390"/>
      </w:tblGrid>
      <w:tr w:rsidR="007B65C1" w:rsidRPr="007B65C1" w14:paraId="73A8078E" w14:textId="77777777" w:rsidTr="00404BA8">
        <w:trPr>
          <w:trHeight w:val="290"/>
        </w:trPr>
        <w:tc>
          <w:tcPr>
            <w:tcW w:w="1838" w:type="dxa"/>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6BC9E936" w14:textId="77777777" w:rsidR="007B65C1" w:rsidRPr="007B65C1" w:rsidRDefault="007B65C1" w:rsidP="007B65C1">
            <w:pPr>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Market cap (as on Bloomberg)</w:t>
            </w:r>
          </w:p>
        </w:tc>
        <w:tc>
          <w:tcPr>
            <w:tcW w:w="1390" w:type="dxa"/>
            <w:tcBorders>
              <w:top w:val="single" w:sz="4" w:space="0" w:color="auto"/>
              <w:left w:val="nil"/>
              <w:bottom w:val="single" w:sz="4" w:space="0" w:color="auto"/>
              <w:right w:val="single" w:sz="4" w:space="0" w:color="auto"/>
            </w:tcBorders>
            <w:shd w:val="clear" w:color="000000" w:fill="538DD5"/>
            <w:noWrap/>
            <w:vAlign w:val="bottom"/>
            <w:hideMark/>
          </w:tcPr>
          <w:p w14:paraId="3C04BE05" w14:textId="77777777" w:rsidR="007B65C1" w:rsidRPr="007B65C1" w:rsidRDefault="007B65C1" w:rsidP="007B65C1">
            <w:pPr>
              <w:jc w:val="right"/>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346392187.8</w:t>
            </w:r>
          </w:p>
        </w:tc>
        <w:tc>
          <w:tcPr>
            <w:tcW w:w="1162" w:type="dxa"/>
            <w:tcBorders>
              <w:top w:val="nil"/>
              <w:left w:val="nil"/>
              <w:bottom w:val="nil"/>
              <w:right w:val="nil"/>
            </w:tcBorders>
            <w:shd w:val="clear" w:color="auto" w:fill="auto"/>
            <w:noWrap/>
            <w:vAlign w:val="bottom"/>
            <w:hideMark/>
          </w:tcPr>
          <w:p w14:paraId="1CFA93F8" w14:textId="77777777" w:rsidR="007B65C1" w:rsidRPr="007B65C1" w:rsidRDefault="007B65C1" w:rsidP="007B65C1">
            <w:pPr>
              <w:jc w:val="right"/>
              <w:rPr>
                <w:rFonts w:ascii="Calibri" w:eastAsia="Times New Roman" w:hAnsi="Calibri" w:cs="Calibri"/>
                <w:b/>
                <w:bCs/>
                <w:color w:val="000000"/>
                <w:sz w:val="22"/>
                <w:szCs w:val="22"/>
                <w:lang w:val="en-IN" w:eastAsia="en-IN"/>
              </w:rPr>
            </w:pPr>
          </w:p>
        </w:tc>
        <w:tc>
          <w:tcPr>
            <w:tcW w:w="1053" w:type="dxa"/>
            <w:tcBorders>
              <w:top w:val="nil"/>
              <w:left w:val="nil"/>
              <w:bottom w:val="nil"/>
              <w:right w:val="nil"/>
            </w:tcBorders>
            <w:shd w:val="clear" w:color="auto" w:fill="auto"/>
            <w:noWrap/>
            <w:vAlign w:val="bottom"/>
            <w:hideMark/>
          </w:tcPr>
          <w:p w14:paraId="540B55E1"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073" w:type="dxa"/>
            <w:tcBorders>
              <w:top w:val="nil"/>
              <w:left w:val="nil"/>
              <w:bottom w:val="nil"/>
              <w:right w:val="nil"/>
            </w:tcBorders>
            <w:shd w:val="clear" w:color="auto" w:fill="auto"/>
            <w:noWrap/>
            <w:vAlign w:val="bottom"/>
            <w:hideMark/>
          </w:tcPr>
          <w:p w14:paraId="51EA68D6"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276" w:type="dxa"/>
            <w:tcBorders>
              <w:top w:val="nil"/>
              <w:left w:val="nil"/>
              <w:bottom w:val="nil"/>
              <w:right w:val="nil"/>
            </w:tcBorders>
            <w:shd w:val="clear" w:color="auto" w:fill="auto"/>
            <w:noWrap/>
            <w:vAlign w:val="bottom"/>
            <w:hideMark/>
          </w:tcPr>
          <w:p w14:paraId="28C4BA40"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053" w:type="dxa"/>
            <w:tcBorders>
              <w:top w:val="nil"/>
              <w:left w:val="nil"/>
              <w:bottom w:val="nil"/>
              <w:right w:val="nil"/>
            </w:tcBorders>
            <w:shd w:val="clear" w:color="auto" w:fill="auto"/>
            <w:noWrap/>
            <w:vAlign w:val="bottom"/>
            <w:hideMark/>
          </w:tcPr>
          <w:p w14:paraId="1E2A014B"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390" w:type="dxa"/>
            <w:tcBorders>
              <w:top w:val="nil"/>
              <w:left w:val="nil"/>
              <w:bottom w:val="nil"/>
              <w:right w:val="nil"/>
            </w:tcBorders>
            <w:shd w:val="clear" w:color="auto" w:fill="auto"/>
            <w:noWrap/>
            <w:vAlign w:val="bottom"/>
            <w:hideMark/>
          </w:tcPr>
          <w:p w14:paraId="4C805E21" w14:textId="77777777" w:rsidR="007B65C1" w:rsidRPr="007B65C1" w:rsidRDefault="007B65C1" w:rsidP="007B65C1">
            <w:pPr>
              <w:rPr>
                <w:rFonts w:ascii="Times New Roman" w:eastAsia="Times New Roman" w:hAnsi="Times New Roman" w:cs="Times New Roman"/>
                <w:sz w:val="20"/>
                <w:szCs w:val="20"/>
                <w:lang w:val="en-IN" w:eastAsia="en-IN"/>
              </w:rPr>
            </w:pPr>
          </w:p>
        </w:tc>
      </w:tr>
      <w:tr w:rsidR="007B65C1" w:rsidRPr="007B65C1" w14:paraId="631834D2" w14:textId="77777777" w:rsidTr="00404BA8">
        <w:trPr>
          <w:trHeight w:val="290"/>
        </w:trPr>
        <w:tc>
          <w:tcPr>
            <w:tcW w:w="1838" w:type="dxa"/>
            <w:tcBorders>
              <w:top w:val="nil"/>
              <w:left w:val="nil"/>
              <w:bottom w:val="nil"/>
              <w:right w:val="nil"/>
            </w:tcBorders>
            <w:shd w:val="clear" w:color="auto" w:fill="auto"/>
            <w:noWrap/>
            <w:vAlign w:val="bottom"/>
            <w:hideMark/>
          </w:tcPr>
          <w:p w14:paraId="1036BE30"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390" w:type="dxa"/>
            <w:tcBorders>
              <w:top w:val="nil"/>
              <w:left w:val="nil"/>
              <w:bottom w:val="nil"/>
              <w:right w:val="nil"/>
            </w:tcBorders>
            <w:shd w:val="clear" w:color="auto" w:fill="auto"/>
            <w:noWrap/>
            <w:vAlign w:val="bottom"/>
            <w:hideMark/>
          </w:tcPr>
          <w:p w14:paraId="1F2AE49F"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162" w:type="dxa"/>
            <w:tcBorders>
              <w:top w:val="nil"/>
              <w:left w:val="nil"/>
              <w:bottom w:val="nil"/>
              <w:right w:val="nil"/>
            </w:tcBorders>
            <w:shd w:val="clear" w:color="auto" w:fill="auto"/>
            <w:noWrap/>
            <w:vAlign w:val="bottom"/>
            <w:hideMark/>
          </w:tcPr>
          <w:p w14:paraId="4B916F8B"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053" w:type="dxa"/>
            <w:tcBorders>
              <w:top w:val="nil"/>
              <w:left w:val="nil"/>
              <w:bottom w:val="nil"/>
              <w:right w:val="nil"/>
            </w:tcBorders>
            <w:shd w:val="clear" w:color="auto" w:fill="auto"/>
            <w:noWrap/>
            <w:vAlign w:val="bottom"/>
            <w:hideMark/>
          </w:tcPr>
          <w:p w14:paraId="257101C9"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073" w:type="dxa"/>
            <w:tcBorders>
              <w:top w:val="nil"/>
              <w:left w:val="nil"/>
              <w:bottom w:val="nil"/>
              <w:right w:val="nil"/>
            </w:tcBorders>
            <w:shd w:val="clear" w:color="auto" w:fill="auto"/>
            <w:noWrap/>
            <w:vAlign w:val="bottom"/>
            <w:hideMark/>
          </w:tcPr>
          <w:p w14:paraId="7B5E5123"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276" w:type="dxa"/>
            <w:tcBorders>
              <w:top w:val="nil"/>
              <w:left w:val="nil"/>
              <w:bottom w:val="nil"/>
              <w:right w:val="nil"/>
            </w:tcBorders>
            <w:shd w:val="clear" w:color="auto" w:fill="auto"/>
            <w:noWrap/>
            <w:vAlign w:val="bottom"/>
            <w:hideMark/>
          </w:tcPr>
          <w:p w14:paraId="6C5B92BD"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053" w:type="dxa"/>
            <w:tcBorders>
              <w:top w:val="nil"/>
              <w:left w:val="nil"/>
              <w:bottom w:val="nil"/>
              <w:right w:val="nil"/>
            </w:tcBorders>
            <w:shd w:val="clear" w:color="auto" w:fill="auto"/>
            <w:noWrap/>
            <w:vAlign w:val="bottom"/>
            <w:hideMark/>
          </w:tcPr>
          <w:p w14:paraId="10195393"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390" w:type="dxa"/>
            <w:tcBorders>
              <w:top w:val="nil"/>
              <w:left w:val="nil"/>
              <w:bottom w:val="nil"/>
              <w:right w:val="nil"/>
            </w:tcBorders>
            <w:shd w:val="clear" w:color="auto" w:fill="auto"/>
            <w:noWrap/>
            <w:vAlign w:val="bottom"/>
            <w:hideMark/>
          </w:tcPr>
          <w:p w14:paraId="36A7EC12" w14:textId="77777777" w:rsidR="007B65C1" w:rsidRPr="007B65C1" w:rsidRDefault="007B65C1" w:rsidP="007B65C1">
            <w:pPr>
              <w:rPr>
                <w:rFonts w:ascii="Times New Roman" w:eastAsia="Times New Roman" w:hAnsi="Times New Roman" w:cs="Times New Roman"/>
                <w:sz w:val="20"/>
                <w:szCs w:val="20"/>
                <w:lang w:val="en-IN" w:eastAsia="en-IN"/>
              </w:rPr>
            </w:pPr>
          </w:p>
        </w:tc>
      </w:tr>
      <w:tr w:rsidR="007B65C1" w:rsidRPr="007B65C1" w14:paraId="6AC9ABD3" w14:textId="77777777" w:rsidTr="00404BA8">
        <w:trPr>
          <w:trHeight w:val="290"/>
        </w:trPr>
        <w:tc>
          <w:tcPr>
            <w:tcW w:w="1838" w:type="dxa"/>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32AF44AA" w14:textId="77777777" w:rsidR="007B65C1" w:rsidRPr="007B65C1" w:rsidRDefault="007B65C1" w:rsidP="007B65C1">
            <w:pPr>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Year</w:t>
            </w:r>
          </w:p>
        </w:tc>
        <w:tc>
          <w:tcPr>
            <w:tcW w:w="1390" w:type="dxa"/>
            <w:tcBorders>
              <w:top w:val="single" w:sz="4" w:space="0" w:color="auto"/>
              <w:left w:val="nil"/>
              <w:bottom w:val="single" w:sz="4" w:space="0" w:color="auto"/>
              <w:right w:val="single" w:sz="4" w:space="0" w:color="auto"/>
            </w:tcBorders>
            <w:shd w:val="clear" w:color="000000" w:fill="538DD5"/>
            <w:noWrap/>
            <w:vAlign w:val="bottom"/>
            <w:hideMark/>
          </w:tcPr>
          <w:p w14:paraId="08EA0893" w14:textId="77777777" w:rsidR="007B65C1" w:rsidRPr="007B65C1" w:rsidRDefault="007B65C1" w:rsidP="007B65C1">
            <w:pPr>
              <w:jc w:val="right"/>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2022</w:t>
            </w:r>
          </w:p>
        </w:tc>
        <w:tc>
          <w:tcPr>
            <w:tcW w:w="1162" w:type="dxa"/>
            <w:tcBorders>
              <w:top w:val="single" w:sz="4" w:space="0" w:color="auto"/>
              <w:left w:val="nil"/>
              <w:bottom w:val="single" w:sz="4" w:space="0" w:color="auto"/>
              <w:right w:val="single" w:sz="4" w:space="0" w:color="auto"/>
            </w:tcBorders>
            <w:shd w:val="clear" w:color="000000" w:fill="538DD5"/>
            <w:noWrap/>
            <w:vAlign w:val="bottom"/>
            <w:hideMark/>
          </w:tcPr>
          <w:p w14:paraId="1557A893" w14:textId="77777777" w:rsidR="007B65C1" w:rsidRPr="007B65C1" w:rsidRDefault="007B65C1" w:rsidP="007B65C1">
            <w:pPr>
              <w:jc w:val="right"/>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2023</w:t>
            </w:r>
          </w:p>
        </w:tc>
        <w:tc>
          <w:tcPr>
            <w:tcW w:w="1053" w:type="dxa"/>
            <w:tcBorders>
              <w:top w:val="single" w:sz="4" w:space="0" w:color="auto"/>
              <w:left w:val="nil"/>
              <w:bottom w:val="single" w:sz="4" w:space="0" w:color="auto"/>
              <w:right w:val="single" w:sz="4" w:space="0" w:color="auto"/>
            </w:tcBorders>
            <w:shd w:val="clear" w:color="000000" w:fill="538DD5"/>
            <w:noWrap/>
            <w:vAlign w:val="bottom"/>
            <w:hideMark/>
          </w:tcPr>
          <w:p w14:paraId="5EEAD994" w14:textId="77777777" w:rsidR="007B65C1" w:rsidRPr="007B65C1" w:rsidRDefault="007B65C1" w:rsidP="007B65C1">
            <w:pPr>
              <w:jc w:val="right"/>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2024</w:t>
            </w:r>
          </w:p>
        </w:tc>
        <w:tc>
          <w:tcPr>
            <w:tcW w:w="1073" w:type="dxa"/>
            <w:tcBorders>
              <w:top w:val="single" w:sz="4" w:space="0" w:color="auto"/>
              <w:left w:val="nil"/>
              <w:bottom w:val="single" w:sz="4" w:space="0" w:color="auto"/>
              <w:right w:val="single" w:sz="4" w:space="0" w:color="auto"/>
            </w:tcBorders>
            <w:shd w:val="clear" w:color="000000" w:fill="538DD5"/>
            <w:noWrap/>
            <w:vAlign w:val="bottom"/>
            <w:hideMark/>
          </w:tcPr>
          <w:p w14:paraId="72A9FC39" w14:textId="77777777" w:rsidR="007B65C1" w:rsidRPr="007B65C1" w:rsidRDefault="007B65C1" w:rsidP="007B65C1">
            <w:pPr>
              <w:jc w:val="right"/>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2025</w:t>
            </w:r>
          </w:p>
        </w:tc>
        <w:tc>
          <w:tcPr>
            <w:tcW w:w="1276" w:type="dxa"/>
            <w:tcBorders>
              <w:top w:val="single" w:sz="4" w:space="0" w:color="auto"/>
              <w:left w:val="nil"/>
              <w:bottom w:val="single" w:sz="4" w:space="0" w:color="auto"/>
              <w:right w:val="single" w:sz="4" w:space="0" w:color="auto"/>
            </w:tcBorders>
            <w:shd w:val="clear" w:color="000000" w:fill="538DD5"/>
            <w:noWrap/>
            <w:vAlign w:val="bottom"/>
            <w:hideMark/>
          </w:tcPr>
          <w:p w14:paraId="7E3E0167" w14:textId="77777777" w:rsidR="007B65C1" w:rsidRPr="007B65C1" w:rsidRDefault="007B65C1" w:rsidP="007B65C1">
            <w:pPr>
              <w:jc w:val="right"/>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2026</w:t>
            </w:r>
          </w:p>
        </w:tc>
        <w:tc>
          <w:tcPr>
            <w:tcW w:w="1053" w:type="dxa"/>
            <w:tcBorders>
              <w:top w:val="single" w:sz="4" w:space="0" w:color="auto"/>
              <w:left w:val="nil"/>
              <w:bottom w:val="single" w:sz="4" w:space="0" w:color="auto"/>
              <w:right w:val="single" w:sz="4" w:space="0" w:color="auto"/>
            </w:tcBorders>
            <w:shd w:val="clear" w:color="000000" w:fill="538DD5"/>
            <w:noWrap/>
            <w:vAlign w:val="bottom"/>
            <w:hideMark/>
          </w:tcPr>
          <w:p w14:paraId="2BC8BF6F" w14:textId="77777777" w:rsidR="007B65C1" w:rsidRPr="007B65C1" w:rsidRDefault="007B65C1" w:rsidP="007B65C1">
            <w:pPr>
              <w:jc w:val="right"/>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2027</w:t>
            </w:r>
          </w:p>
        </w:tc>
        <w:tc>
          <w:tcPr>
            <w:tcW w:w="1390" w:type="dxa"/>
            <w:tcBorders>
              <w:top w:val="single" w:sz="4" w:space="0" w:color="auto"/>
              <w:left w:val="nil"/>
              <w:bottom w:val="single" w:sz="4" w:space="0" w:color="auto"/>
              <w:right w:val="single" w:sz="4" w:space="0" w:color="auto"/>
            </w:tcBorders>
            <w:shd w:val="clear" w:color="000000" w:fill="538DD5"/>
            <w:noWrap/>
            <w:vAlign w:val="bottom"/>
            <w:hideMark/>
          </w:tcPr>
          <w:p w14:paraId="4F64D845" w14:textId="77777777" w:rsidR="007B65C1" w:rsidRPr="007B65C1" w:rsidRDefault="007B65C1" w:rsidP="007B65C1">
            <w:pPr>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Perpetuity</w:t>
            </w:r>
          </w:p>
        </w:tc>
      </w:tr>
      <w:tr w:rsidR="007B65C1" w:rsidRPr="007B65C1" w14:paraId="6863616B" w14:textId="77777777" w:rsidTr="00404BA8">
        <w:trPr>
          <w:trHeight w:val="290"/>
        </w:trPr>
        <w:tc>
          <w:tcPr>
            <w:tcW w:w="1838" w:type="dxa"/>
            <w:tcBorders>
              <w:top w:val="nil"/>
              <w:left w:val="single" w:sz="4" w:space="0" w:color="auto"/>
              <w:bottom w:val="single" w:sz="4" w:space="0" w:color="auto"/>
              <w:right w:val="single" w:sz="4" w:space="0" w:color="auto"/>
            </w:tcBorders>
            <w:shd w:val="clear" w:color="000000" w:fill="538DD5"/>
            <w:noWrap/>
            <w:vAlign w:val="bottom"/>
            <w:hideMark/>
          </w:tcPr>
          <w:p w14:paraId="55D1B8E9" w14:textId="77777777" w:rsidR="007B65C1" w:rsidRPr="007B65C1" w:rsidRDefault="007B65C1" w:rsidP="007B65C1">
            <w:pPr>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Time</w:t>
            </w:r>
          </w:p>
        </w:tc>
        <w:tc>
          <w:tcPr>
            <w:tcW w:w="1390" w:type="dxa"/>
            <w:tcBorders>
              <w:top w:val="nil"/>
              <w:left w:val="nil"/>
              <w:bottom w:val="single" w:sz="4" w:space="0" w:color="auto"/>
              <w:right w:val="single" w:sz="4" w:space="0" w:color="auto"/>
            </w:tcBorders>
            <w:shd w:val="clear" w:color="000000" w:fill="538DD5"/>
            <w:noWrap/>
            <w:vAlign w:val="bottom"/>
            <w:hideMark/>
          </w:tcPr>
          <w:p w14:paraId="69AF94D7" w14:textId="77777777" w:rsidR="007B65C1" w:rsidRPr="007B65C1" w:rsidRDefault="007B65C1" w:rsidP="007B65C1">
            <w:pPr>
              <w:jc w:val="right"/>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0</w:t>
            </w:r>
          </w:p>
        </w:tc>
        <w:tc>
          <w:tcPr>
            <w:tcW w:w="1162" w:type="dxa"/>
            <w:tcBorders>
              <w:top w:val="nil"/>
              <w:left w:val="nil"/>
              <w:bottom w:val="single" w:sz="4" w:space="0" w:color="auto"/>
              <w:right w:val="single" w:sz="4" w:space="0" w:color="auto"/>
            </w:tcBorders>
            <w:shd w:val="clear" w:color="000000" w:fill="538DD5"/>
            <w:noWrap/>
            <w:vAlign w:val="bottom"/>
            <w:hideMark/>
          </w:tcPr>
          <w:p w14:paraId="0FEDDFEA" w14:textId="77777777" w:rsidR="007B65C1" w:rsidRPr="007B65C1" w:rsidRDefault="007B65C1" w:rsidP="007B65C1">
            <w:pPr>
              <w:jc w:val="right"/>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1</w:t>
            </w:r>
          </w:p>
        </w:tc>
        <w:tc>
          <w:tcPr>
            <w:tcW w:w="1053" w:type="dxa"/>
            <w:tcBorders>
              <w:top w:val="nil"/>
              <w:left w:val="nil"/>
              <w:bottom w:val="single" w:sz="4" w:space="0" w:color="auto"/>
              <w:right w:val="single" w:sz="4" w:space="0" w:color="auto"/>
            </w:tcBorders>
            <w:shd w:val="clear" w:color="000000" w:fill="538DD5"/>
            <w:noWrap/>
            <w:vAlign w:val="bottom"/>
            <w:hideMark/>
          </w:tcPr>
          <w:p w14:paraId="33B3C563" w14:textId="77777777" w:rsidR="007B65C1" w:rsidRPr="007B65C1" w:rsidRDefault="007B65C1" w:rsidP="007B65C1">
            <w:pPr>
              <w:jc w:val="right"/>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2</w:t>
            </w:r>
          </w:p>
        </w:tc>
        <w:tc>
          <w:tcPr>
            <w:tcW w:w="1073" w:type="dxa"/>
            <w:tcBorders>
              <w:top w:val="nil"/>
              <w:left w:val="nil"/>
              <w:bottom w:val="single" w:sz="4" w:space="0" w:color="auto"/>
              <w:right w:val="single" w:sz="4" w:space="0" w:color="auto"/>
            </w:tcBorders>
            <w:shd w:val="clear" w:color="000000" w:fill="538DD5"/>
            <w:noWrap/>
            <w:vAlign w:val="bottom"/>
            <w:hideMark/>
          </w:tcPr>
          <w:p w14:paraId="12A83558" w14:textId="77777777" w:rsidR="007B65C1" w:rsidRPr="007B65C1" w:rsidRDefault="007B65C1" w:rsidP="007B65C1">
            <w:pPr>
              <w:jc w:val="right"/>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3</w:t>
            </w:r>
          </w:p>
        </w:tc>
        <w:tc>
          <w:tcPr>
            <w:tcW w:w="1276" w:type="dxa"/>
            <w:tcBorders>
              <w:top w:val="nil"/>
              <w:left w:val="nil"/>
              <w:bottom w:val="single" w:sz="4" w:space="0" w:color="auto"/>
              <w:right w:val="single" w:sz="4" w:space="0" w:color="auto"/>
            </w:tcBorders>
            <w:shd w:val="clear" w:color="000000" w:fill="538DD5"/>
            <w:noWrap/>
            <w:vAlign w:val="bottom"/>
            <w:hideMark/>
          </w:tcPr>
          <w:p w14:paraId="5A13244B" w14:textId="77777777" w:rsidR="007B65C1" w:rsidRPr="007B65C1" w:rsidRDefault="007B65C1" w:rsidP="007B65C1">
            <w:pPr>
              <w:jc w:val="right"/>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4</w:t>
            </w:r>
          </w:p>
        </w:tc>
        <w:tc>
          <w:tcPr>
            <w:tcW w:w="1053" w:type="dxa"/>
            <w:tcBorders>
              <w:top w:val="nil"/>
              <w:left w:val="nil"/>
              <w:bottom w:val="single" w:sz="4" w:space="0" w:color="auto"/>
              <w:right w:val="single" w:sz="4" w:space="0" w:color="auto"/>
            </w:tcBorders>
            <w:shd w:val="clear" w:color="000000" w:fill="538DD5"/>
            <w:noWrap/>
            <w:vAlign w:val="bottom"/>
            <w:hideMark/>
          </w:tcPr>
          <w:p w14:paraId="2B643B59" w14:textId="77777777" w:rsidR="007B65C1" w:rsidRPr="007B65C1" w:rsidRDefault="007B65C1" w:rsidP="007B65C1">
            <w:pPr>
              <w:jc w:val="right"/>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5</w:t>
            </w:r>
          </w:p>
        </w:tc>
        <w:tc>
          <w:tcPr>
            <w:tcW w:w="1390" w:type="dxa"/>
            <w:tcBorders>
              <w:top w:val="nil"/>
              <w:left w:val="nil"/>
              <w:bottom w:val="single" w:sz="4" w:space="0" w:color="auto"/>
              <w:right w:val="single" w:sz="4" w:space="0" w:color="auto"/>
            </w:tcBorders>
            <w:shd w:val="clear" w:color="000000" w:fill="538DD5"/>
            <w:noWrap/>
            <w:vAlign w:val="bottom"/>
            <w:hideMark/>
          </w:tcPr>
          <w:p w14:paraId="3F45809A" w14:textId="77777777" w:rsidR="007B65C1" w:rsidRPr="007B65C1" w:rsidRDefault="007B65C1" w:rsidP="007B65C1">
            <w:pPr>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6+</w:t>
            </w:r>
          </w:p>
        </w:tc>
      </w:tr>
      <w:tr w:rsidR="007B65C1" w:rsidRPr="007B65C1" w14:paraId="2AF8C049" w14:textId="77777777" w:rsidTr="00404BA8">
        <w:trPr>
          <w:trHeight w:val="29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79D3F08" w14:textId="77777777" w:rsidR="007B65C1" w:rsidRPr="007B65C1" w:rsidRDefault="007B65C1" w:rsidP="007B65C1">
            <w:pPr>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EBIT</w:t>
            </w:r>
          </w:p>
        </w:tc>
        <w:tc>
          <w:tcPr>
            <w:tcW w:w="1390" w:type="dxa"/>
            <w:tcBorders>
              <w:top w:val="nil"/>
              <w:left w:val="nil"/>
              <w:bottom w:val="single" w:sz="4" w:space="0" w:color="auto"/>
              <w:right w:val="single" w:sz="4" w:space="0" w:color="auto"/>
            </w:tcBorders>
            <w:shd w:val="clear" w:color="auto" w:fill="auto"/>
            <w:noWrap/>
            <w:vAlign w:val="bottom"/>
            <w:hideMark/>
          </w:tcPr>
          <w:p w14:paraId="7687E4BA"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104.5711967</w:t>
            </w:r>
          </w:p>
        </w:tc>
        <w:tc>
          <w:tcPr>
            <w:tcW w:w="1162" w:type="dxa"/>
            <w:tcBorders>
              <w:top w:val="nil"/>
              <w:left w:val="nil"/>
              <w:bottom w:val="single" w:sz="4" w:space="0" w:color="auto"/>
              <w:right w:val="single" w:sz="4" w:space="0" w:color="auto"/>
            </w:tcBorders>
            <w:shd w:val="clear" w:color="auto" w:fill="auto"/>
            <w:noWrap/>
            <w:vAlign w:val="bottom"/>
            <w:hideMark/>
          </w:tcPr>
          <w:p w14:paraId="565EB712"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82.12855</w:t>
            </w:r>
          </w:p>
        </w:tc>
        <w:tc>
          <w:tcPr>
            <w:tcW w:w="1053" w:type="dxa"/>
            <w:tcBorders>
              <w:top w:val="nil"/>
              <w:left w:val="nil"/>
              <w:bottom w:val="single" w:sz="4" w:space="0" w:color="auto"/>
              <w:right w:val="single" w:sz="4" w:space="0" w:color="auto"/>
            </w:tcBorders>
            <w:shd w:val="clear" w:color="auto" w:fill="auto"/>
            <w:noWrap/>
            <w:vAlign w:val="bottom"/>
            <w:hideMark/>
          </w:tcPr>
          <w:p w14:paraId="0AA1FEFD"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36.55283</w:t>
            </w:r>
          </w:p>
        </w:tc>
        <w:tc>
          <w:tcPr>
            <w:tcW w:w="1073" w:type="dxa"/>
            <w:tcBorders>
              <w:top w:val="nil"/>
              <w:left w:val="nil"/>
              <w:bottom w:val="single" w:sz="4" w:space="0" w:color="auto"/>
              <w:right w:val="single" w:sz="4" w:space="0" w:color="auto"/>
            </w:tcBorders>
            <w:shd w:val="clear" w:color="auto" w:fill="auto"/>
            <w:noWrap/>
            <w:vAlign w:val="bottom"/>
            <w:hideMark/>
          </w:tcPr>
          <w:p w14:paraId="03BFF466"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44.14227</w:t>
            </w:r>
          </w:p>
        </w:tc>
        <w:tc>
          <w:tcPr>
            <w:tcW w:w="1276" w:type="dxa"/>
            <w:tcBorders>
              <w:top w:val="nil"/>
              <w:left w:val="nil"/>
              <w:bottom w:val="single" w:sz="4" w:space="0" w:color="auto"/>
              <w:right w:val="single" w:sz="4" w:space="0" w:color="auto"/>
            </w:tcBorders>
            <w:shd w:val="clear" w:color="auto" w:fill="auto"/>
            <w:noWrap/>
            <w:vAlign w:val="bottom"/>
            <w:hideMark/>
          </w:tcPr>
          <w:p w14:paraId="760FA147"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57.36639</w:t>
            </w:r>
          </w:p>
        </w:tc>
        <w:tc>
          <w:tcPr>
            <w:tcW w:w="1053" w:type="dxa"/>
            <w:tcBorders>
              <w:top w:val="nil"/>
              <w:left w:val="nil"/>
              <w:bottom w:val="single" w:sz="4" w:space="0" w:color="auto"/>
              <w:right w:val="single" w:sz="4" w:space="0" w:color="auto"/>
            </w:tcBorders>
            <w:shd w:val="clear" w:color="auto" w:fill="auto"/>
            <w:noWrap/>
            <w:vAlign w:val="bottom"/>
            <w:hideMark/>
          </w:tcPr>
          <w:p w14:paraId="50AB11C9"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66.428</w:t>
            </w:r>
          </w:p>
        </w:tc>
        <w:tc>
          <w:tcPr>
            <w:tcW w:w="1390" w:type="dxa"/>
            <w:tcBorders>
              <w:top w:val="nil"/>
              <w:left w:val="nil"/>
              <w:bottom w:val="single" w:sz="4" w:space="0" w:color="auto"/>
              <w:right w:val="single" w:sz="4" w:space="0" w:color="auto"/>
            </w:tcBorders>
            <w:shd w:val="clear" w:color="auto" w:fill="auto"/>
            <w:noWrap/>
            <w:vAlign w:val="bottom"/>
            <w:hideMark/>
          </w:tcPr>
          <w:p w14:paraId="4DD62290"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69.70954127</w:t>
            </w:r>
          </w:p>
        </w:tc>
      </w:tr>
      <w:tr w:rsidR="007B65C1" w:rsidRPr="007B65C1" w14:paraId="1E77088B" w14:textId="77777777" w:rsidTr="00404BA8">
        <w:trPr>
          <w:trHeight w:val="29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3F57F6C" w14:textId="77777777" w:rsidR="007B65C1" w:rsidRPr="007B65C1" w:rsidRDefault="007B65C1" w:rsidP="007B65C1">
            <w:pPr>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Additions to NWC</w:t>
            </w:r>
          </w:p>
        </w:tc>
        <w:tc>
          <w:tcPr>
            <w:tcW w:w="1390" w:type="dxa"/>
            <w:tcBorders>
              <w:top w:val="nil"/>
              <w:left w:val="nil"/>
              <w:bottom w:val="single" w:sz="4" w:space="0" w:color="auto"/>
              <w:right w:val="single" w:sz="4" w:space="0" w:color="auto"/>
            </w:tcBorders>
            <w:shd w:val="clear" w:color="auto" w:fill="auto"/>
            <w:noWrap/>
            <w:vAlign w:val="bottom"/>
            <w:hideMark/>
          </w:tcPr>
          <w:p w14:paraId="1C260FFA"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-14.72</w:t>
            </w:r>
          </w:p>
        </w:tc>
        <w:tc>
          <w:tcPr>
            <w:tcW w:w="1162" w:type="dxa"/>
            <w:tcBorders>
              <w:top w:val="nil"/>
              <w:left w:val="nil"/>
              <w:bottom w:val="single" w:sz="4" w:space="0" w:color="auto"/>
              <w:right w:val="single" w:sz="4" w:space="0" w:color="auto"/>
            </w:tcBorders>
            <w:shd w:val="clear" w:color="auto" w:fill="auto"/>
            <w:noWrap/>
            <w:vAlign w:val="bottom"/>
            <w:hideMark/>
          </w:tcPr>
          <w:p w14:paraId="7B3FB711"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-14.72</w:t>
            </w:r>
          </w:p>
        </w:tc>
        <w:tc>
          <w:tcPr>
            <w:tcW w:w="1053" w:type="dxa"/>
            <w:tcBorders>
              <w:top w:val="nil"/>
              <w:left w:val="nil"/>
              <w:bottom w:val="single" w:sz="4" w:space="0" w:color="auto"/>
              <w:right w:val="single" w:sz="4" w:space="0" w:color="auto"/>
            </w:tcBorders>
            <w:shd w:val="clear" w:color="auto" w:fill="auto"/>
            <w:noWrap/>
            <w:vAlign w:val="bottom"/>
            <w:hideMark/>
          </w:tcPr>
          <w:p w14:paraId="565F11CB"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-7.36</w:t>
            </w:r>
          </w:p>
        </w:tc>
        <w:tc>
          <w:tcPr>
            <w:tcW w:w="1073" w:type="dxa"/>
            <w:tcBorders>
              <w:top w:val="nil"/>
              <w:left w:val="nil"/>
              <w:bottom w:val="single" w:sz="4" w:space="0" w:color="auto"/>
              <w:right w:val="single" w:sz="4" w:space="0" w:color="auto"/>
            </w:tcBorders>
            <w:shd w:val="clear" w:color="auto" w:fill="auto"/>
            <w:noWrap/>
            <w:vAlign w:val="bottom"/>
            <w:hideMark/>
          </w:tcPr>
          <w:p w14:paraId="183A7416"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0</w:t>
            </w:r>
          </w:p>
        </w:tc>
        <w:tc>
          <w:tcPr>
            <w:tcW w:w="1276" w:type="dxa"/>
            <w:tcBorders>
              <w:top w:val="nil"/>
              <w:left w:val="nil"/>
              <w:bottom w:val="single" w:sz="4" w:space="0" w:color="auto"/>
              <w:right w:val="single" w:sz="4" w:space="0" w:color="auto"/>
            </w:tcBorders>
            <w:shd w:val="clear" w:color="auto" w:fill="auto"/>
            <w:noWrap/>
            <w:vAlign w:val="bottom"/>
            <w:hideMark/>
          </w:tcPr>
          <w:p w14:paraId="15843395"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7.36</w:t>
            </w:r>
          </w:p>
        </w:tc>
        <w:tc>
          <w:tcPr>
            <w:tcW w:w="1053" w:type="dxa"/>
            <w:tcBorders>
              <w:top w:val="nil"/>
              <w:left w:val="nil"/>
              <w:bottom w:val="single" w:sz="4" w:space="0" w:color="auto"/>
              <w:right w:val="single" w:sz="4" w:space="0" w:color="auto"/>
            </w:tcBorders>
            <w:shd w:val="clear" w:color="auto" w:fill="auto"/>
            <w:noWrap/>
            <w:vAlign w:val="bottom"/>
            <w:hideMark/>
          </w:tcPr>
          <w:p w14:paraId="0BBB8877"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14.72</w:t>
            </w:r>
          </w:p>
        </w:tc>
        <w:tc>
          <w:tcPr>
            <w:tcW w:w="1390" w:type="dxa"/>
            <w:tcBorders>
              <w:top w:val="nil"/>
              <w:left w:val="nil"/>
              <w:bottom w:val="single" w:sz="4" w:space="0" w:color="auto"/>
              <w:right w:val="single" w:sz="4" w:space="0" w:color="auto"/>
            </w:tcBorders>
            <w:shd w:val="clear" w:color="auto" w:fill="auto"/>
            <w:noWrap/>
            <w:vAlign w:val="bottom"/>
            <w:hideMark/>
          </w:tcPr>
          <w:p w14:paraId="346EEC96"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21.22</w:t>
            </w:r>
          </w:p>
        </w:tc>
      </w:tr>
      <w:tr w:rsidR="007B65C1" w:rsidRPr="007B65C1" w14:paraId="0F0FB4BE" w14:textId="77777777" w:rsidTr="00404BA8">
        <w:trPr>
          <w:trHeight w:val="29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78F6C00" w14:textId="77777777" w:rsidR="007B65C1" w:rsidRPr="007B65C1" w:rsidRDefault="007B65C1" w:rsidP="007B65C1">
            <w:pPr>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CAPEX</w:t>
            </w:r>
          </w:p>
        </w:tc>
        <w:tc>
          <w:tcPr>
            <w:tcW w:w="1390" w:type="dxa"/>
            <w:tcBorders>
              <w:top w:val="nil"/>
              <w:left w:val="nil"/>
              <w:bottom w:val="nil"/>
              <w:right w:val="nil"/>
            </w:tcBorders>
            <w:shd w:val="clear" w:color="auto" w:fill="auto"/>
            <w:noWrap/>
            <w:vAlign w:val="bottom"/>
            <w:hideMark/>
          </w:tcPr>
          <w:p w14:paraId="342F1BFC"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134.331</w:t>
            </w:r>
          </w:p>
        </w:tc>
        <w:tc>
          <w:tcPr>
            <w:tcW w:w="1162" w:type="dxa"/>
            <w:tcBorders>
              <w:top w:val="nil"/>
              <w:left w:val="nil"/>
              <w:bottom w:val="nil"/>
              <w:right w:val="nil"/>
            </w:tcBorders>
            <w:shd w:val="clear" w:color="auto" w:fill="auto"/>
            <w:noWrap/>
            <w:vAlign w:val="bottom"/>
            <w:hideMark/>
          </w:tcPr>
          <w:p w14:paraId="0E51602D"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134.331</w:t>
            </w:r>
          </w:p>
        </w:tc>
        <w:tc>
          <w:tcPr>
            <w:tcW w:w="1053" w:type="dxa"/>
            <w:tcBorders>
              <w:top w:val="nil"/>
              <w:left w:val="single" w:sz="4" w:space="0" w:color="auto"/>
              <w:bottom w:val="single" w:sz="4" w:space="0" w:color="auto"/>
              <w:right w:val="single" w:sz="4" w:space="0" w:color="auto"/>
            </w:tcBorders>
            <w:shd w:val="clear" w:color="auto" w:fill="auto"/>
            <w:noWrap/>
            <w:vAlign w:val="bottom"/>
            <w:hideMark/>
          </w:tcPr>
          <w:p w14:paraId="62E358B7"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115.98</w:t>
            </w:r>
          </w:p>
        </w:tc>
        <w:tc>
          <w:tcPr>
            <w:tcW w:w="1073" w:type="dxa"/>
            <w:tcBorders>
              <w:top w:val="nil"/>
              <w:left w:val="nil"/>
              <w:bottom w:val="single" w:sz="4" w:space="0" w:color="auto"/>
              <w:right w:val="single" w:sz="4" w:space="0" w:color="auto"/>
            </w:tcBorders>
            <w:shd w:val="clear" w:color="auto" w:fill="auto"/>
            <w:noWrap/>
            <w:vAlign w:val="bottom"/>
            <w:hideMark/>
          </w:tcPr>
          <w:p w14:paraId="46CF516D"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79.32</w:t>
            </w:r>
          </w:p>
        </w:tc>
        <w:tc>
          <w:tcPr>
            <w:tcW w:w="1276" w:type="dxa"/>
            <w:tcBorders>
              <w:top w:val="nil"/>
              <w:left w:val="nil"/>
              <w:bottom w:val="single" w:sz="4" w:space="0" w:color="auto"/>
              <w:right w:val="single" w:sz="4" w:space="0" w:color="auto"/>
            </w:tcBorders>
            <w:shd w:val="clear" w:color="auto" w:fill="auto"/>
            <w:noWrap/>
            <w:vAlign w:val="bottom"/>
            <w:hideMark/>
          </w:tcPr>
          <w:p w14:paraId="1A73A07C"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42.66</w:t>
            </w:r>
          </w:p>
        </w:tc>
        <w:tc>
          <w:tcPr>
            <w:tcW w:w="1053" w:type="dxa"/>
            <w:tcBorders>
              <w:top w:val="nil"/>
              <w:left w:val="nil"/>
              <w:bottom w:val="single" w:sz="4" w:space="0" w:color="auto"/>
              <w:right w:val="single" w:sz="4" w:space="0" w:color="auto"/>
            </w:tcBorders>
            <w:shd w:val="clear" w:color="auto" w:fill="auto"/>
            <w:noWrap/>
            <w:vAlign w:val="bottom"/>
            <w:hideMark/>
          </w:tcPr>
          <w:p w14:paraId="60E07F60"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45.66</w:t>
            </w:r>
          </w:p>
        </w:tc>
        <w:tc>
          <w:tcPr>
            <w:tcW w:w="1390" w:type="dxa"/>
            <w:tcBorders>
              <w:top w:val="nil"/>
              <w:left w:val="nil"/>
              <w:bottom w:val="single" w:sz="4" w:space="0" w:color="auto"/>
              <w:right w:val="single" w:sz="4" w:space="0" w:color="auto"/>
            </w:tcBorders>
            <w:shd w:val="clear" w:color="auto" w:fill="auto"/>
            <w:noWrap/>
            <w:vAlign w:val="bottom"/>
            <w:hideMark/>
          </w:tcPr>
          <w:p w14:paraId="1F8366E9"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45.29604</w:t>
            </w:r>
          </w:p>
        </w:tc>
      </w:tr>
      <w:tr w:rsidR="007B65C1" w:rsidRPr="007B65C1" w14:paraId="5649A27C" w14:textId="77777777" w:rsidTr="00404BA8">
        <w:trPr>
          <w:trHeight w:val="29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895840F" w14:textId="77777777" w:rsidR="007B65C1" w:rsidRPr="007B65C1" w:rsidRDefault="007B65C1" w:rsidP="007B65C1">
            <w:pPr>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Depreciation</w:t>
            </w: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14:paraId="4AF825A4"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43.86986246</w:t>
            </w:r>
          </w:p>
        </w:tc>
        <w:tc>
          <w:tcPr>
            <w:tcW w:w="1162" w:type="dxa"/>
            <w:tcBorders>
              <w:top w:val="single" w:sz="4" w:space="0" w:color="auto"/>
              <w:left w:val="nil"/>
              <w:bottom w:val="single" w:sz="4" w:space="0" w:color="auto"/>
              <w:right w:val="single" w:sz="4" w:space="0" w:color="auto"/>
            </w:tcBorders>
            <w:shd w:val="clear" w:color="auto" w:fill="auto"/>
            <w:noWrap/>
            <w:vAlign w:val="bottom"/>
            <w:hideMark/>
          </w:tcPr>
          <w:p w14:paraId="2CC8D786"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55.13273</w:t>
            </w:r>
          </w:p>
        </w:tc>
        <w:tc>
          <w:tcPr>
            <w:tcW w:w="1053" w:type="dxa"/>
            <w:tcBorders>
              <w:top w:val="nil"/>
              <w:left w:val="nil"/>
              <w:bottom w:val="single" w:sz="4" w:space="0" w:color="auto"/>
              <w:right w:val="single" w:sz="4" w:space="0" w:color="auto"/>
            </w:tcBorders>
            <w:shd w:val="clear" w:color="auto" w:fill="auto"/>
            <w:noWrap/>
            <w:vAlign w:val="bottom"/>
            <w:hideMark/>
          </w:tcPr>
          <w:p w14:paraId="30010C71"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58.9792</w:t>
            </w:r>
          </w:p>
        </w:tc>
        <w:tc>
          <w:tcPr>
            <w:tcW w:w="1073" w:type="dxa"/>
            <w:tcBorders>
              <w:top w:val="nil"/>
              <w:left w:val="nil"/>
              <w:bottom w:val="single" w:sz="4" w:space="0" w:color="auto"/>
              <w:right w:val="single" w:sz="4" w:space="0" w:color="auto"/>
            </w:tcBorders>
            <w:shd w:val="clear" w:color="auto" w:fill="auto"/>
            <w:noWrap/>
            <w:vAlign w:val="bottom"/>
            <w:hideMark/>
          </w:tcPr>
          <w:p w14:paraId="33471FF2"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61.54351</w:t>
            </w:r>
          </w:p>
        </w:tc>
        <w:tc>
          <w:tcPr>
            <w:tcW w:w="1276" w:type="dxa"/>
            <w:tcBorders>
              <w:top w:val="nil"/>
              <w:left w:val="nil"/>
              <w:bottom w:val="single" w:sz="4" w:space="0" w:color="auto"/>
              <w:right w:val="single" w:sz="4" w:space="0" w:color="auto"/>
            </w:tcBorders>
            <w:shd w:val="clear" w:color="auto" w:fill="auto"/>
            <w:noWrap/>
            <w:vAlign w:val="bottom"/>
            <w:hideMark/>
          </w:tcPr>
          <w:p w14:paraId="4AA15909"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62.82567</w:t>
            </w:r>
          </w:p>
        </w:tc>
        <w:tc>
          <w:tcPr>
            <w:tcW w:w="1053" w:type="dxa"/>
            <w:tcBorders>
              <w:top w:val="nil"/>
              <w:left w:val="nil"/>
              <w:bottom w:val="single" w:sz="4" w:space="0" w:color="auto"/>
              <w:right w:val="single" w:sz="4" w:space="0" w:color="auto"/>
            </w:tcBorders>
            <w:shd w:val="clear" w:color="auto" w:fill="auto"/>
            <w:noWrap/>
            <w:vAlign w:val="bottom"/>
            <w:hideMark/>
          </w:tcPr>
          <w:p w14:paraId="2AE18B1B"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64.10782</w:t>
            </w:r>
          </w:p>
        </w:tc>
        <w:tc>
          <w:tcPr>
            <w:tcW w:w="1390" w:type="dxa"/>
            <w:tcBorders>
              <w:top w:val="nil"/>
              <w:left w:val="nil"/>
              <w:bottom w:val="single" w:sz="4" w:space="0" w:color="auto"/>
              <w:right w:val="single" w:sz="4" w:space="0" w:color="auto"/>
            </w:tcBorders>
            <w:shd w:val="clear" w:color="auto" w:fill="auto"/>
            <w:noWrap/>
            <w:vAlign w:val="bottom"/>
            <w:hideMark/>
          </w:tcPr>
          <w:p w14:paraId="29A266AC"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65.31304899</w:t>
            </w:r>
          </w:p>
        </w:tc>
      </w:tr>
      <w:tr w:rsidR="007B65C1" w:rsidRPr="007B65C1" w14:paraId="24C28817" w14:textId="77777777" w:rsidTr="00404BA8">
        <w:trPr>
          <w:trHeight w:val="29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1EB4C42" w14:textId="77777777" w:rsidR="007B65C1" w:rsidRPr="007B65C1" w:rsidRDefault="007B65C1" w:rsidP="007B65C1">
            <w:pPr>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FCFF</w:t>
            </w:r>
          </w:p>
        </w:tc>
        <w:tc>
          <w:tcPr>
            <w:tcW w:w="1390" w:type="dxa"/>
            <w:tcBorders>
              <w:top w:val="nil"/>
              <w:left w:val="nil"/>
              <w:bottom w:val="single" w:sz="4" w:space="0" w:color="auto"/>
              <w:right w:val="single" w:sz="4" w:space="0" w:color="auto"/>
            </w:tcBorders>
            <w:shd w:val="clear" w:color="auto" w:fill="auto"/>
            <w:noWrap/>
            <w:vAlign w:val="bottom"/>
            <w:hideMark/>
          </w:tcPr>
          <w:p w14:paraId="1AD95852"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28.83005912</w:t>
            </w:r>
          </w:p>
        </w:tc>
        <w:tc>
          <w:tcPr>
            <w:tcW w:w="1162" w:type="dxa"/>
            <w:tcBorders>
              <w:top w:val="nil"/>
              <w:left w:val="nil"/>
              <w:bottom w:val="single" w:sz="4" w:space="0" w:color="auto"/>
              <w:right w:val="single" w:sz="4" w:space="0" w:color="auto"/>
            </w:tcBorders>
            <w:shd w:val="clear" w:color="auto" w:fill="auto"/>
            <w:noWrap/>
            <w:vAlign w:val="bottom"/>
            <w:hideMark/>
          </w:tcPr>
          <w:p w14:paraId="1F1DFB30"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17.65028</w:t>
            </w:r>
          </w:p>
        </w:tc>
        <w:tc>
          <w:tcPr>
            <w:tcW w:w="1053" w:type="dxa"/>
            <w:tcBorders>
              <w:top w:val="nil"/>
              <w:left w:val="nil"/>
              <w:bottom w:val="single" w:sz="4" w:space="0" w:color="auto"/>
              <w:right w:val="single" w:sz="4" w:space="0" w:color="auto"/>
            </w:tcBorders>
            <w:shd w:val="clear" w:color="auto" w:fill="auto"/>
            <w:noWrap/>
            <w:vAlign w:val="bottom"/>
            <w:hideMark/>
          </w:tcPr>
          <w:p w14:paraId="5C3A1928"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-13.088</w:t>
            </w:r>
          </w:p>
        </w:tc>
        <w:tc>
          <w:tcPr>
            <w:tcW w:w="1073" w:type="dxa"/>
            <w:tcBorders>
              <w:top w:val="nil"/>
              <w:left w:val="nil"/>
              <w:bottom w:val="single" w:sz="4" w:space="0" w:color="auto"/>
              <w:right w:val="single" w:sz="4" w:space="0" w:color="auto"/>
            </w:tcBorders>
            <w:shd w:val="clear" w:color="auto" w:fill="auto"/>
            <w:noWrap/>
            <w:vAlign w:val="bottom"/>
            <w:hideMark/>
          </w:tcPr>
          <w:p w14:paraId="3BE400A1"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26.36578</w:t>
            </w:r>
          </w:p>
        </w:tc>
        <w:tc>
          <w:tcPr>
            <w:tcW w:w="1276" w:type="dxa"/>
            <w:tcBorders>
              <w:top w:val="nil"/>
              <w:left w:val="nil"/>
              <w:bottom w:val="single" w:sz="4" w:space="0" w:color="auto"/>
              <w:right w:val="single" w:sz="4" w:space="0" w:color="auto"/>
            </w:tcBorders>
            <w:shd w:val="clear" w:color="auto" w:fill="auto"/>
            <w:noWrap/>
            <w:vAlign w:val="bottom"/>
            <w:hideMark/>
          </w:tcPr>
          <w:p w14:paraId="34F8E5F3"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70.17205</w:t>
            </w:r>
          </w:p>
        </w:tc>
        <w:tc>
          <w:tcPr>
            <w:tcW w:w="1053" w:type="dxa"/>
            <w:tcBorders>
              <w:top w:val="nil"/>
              <w:left w:val="nil"/>
              <w:bottom w:val="single" w:sz="4" w:space="0" w:color="auto"/>
              <w:right w:val="single" w:sz="4" w:space="0" w:color="auto"/>
            </w:tcBorders>
            <w:shd w:val="clear" w:color="auto" w:fill="auto"/>
            <w:noWrap/>
            <w:vAlign w:val="bottom"/>
            <w:hideMark/>
          </w:tcPr>
          <w:p w14:paraId="4B9A5D5D"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70.15582</w:t>
            </w:r>
          </w:p>
        </w:tc>
        <w:tc>
          <w:tcPr>
            <w:tcW w:w="1390" w:type="dxa"/>
            <w:tcBorders>
              <w:top w:val="nil"/>
              <w:left w:val="nil"/>
              <w:bottom w:val="single" w:sz="4" w:space="0" w:color="auto"/>
              <w:right w:val="single" w:sz="4" w:space="0" w:color="auto"/>
            </w:tcBorders>
            <w:shd w:val="clear" w:color="auto" w:fill="auto"/>
            <w:noWrap/>
            <w:vAlign w:val="bottom"/>
            <w:hideMark/>
          </w:tcPr>
          <w:p w14:paraId="7BFC9A90"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68.50655026</w:t>
            </w:r>
          </w:p>
        </w:tc>
      </w:tr>
      <w:tr w:rsidR="007B65C1" w:rsidRPr="007B65C1" w14:paraId="20AF090F" w14:textId="77777777" w:rsidTr="00404BA8">
        <w:trPr>
          <w:trHeight w:val="29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5EBA4E8" w14:textId="77777777" w:rsidR="007B65C1" w:rsidRPr="007B65C1" w:rsidRDefault="007B65C1" w:rsidP="007B65C1">
            <w:pPr>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Discount Factor</w:t>
            </w:r>
          </w:p>
        </w:tc>
        <w:tc>
          <w:tcPr>
            <w:tcW w:w="1390" w:type="dxa"/>
            <w:tcBorders>
              <w:top w:val="nil"/>
              <w:left w:val="nil"/>
              <w:bottom w:val="single" w:sz="4" w:space="0" w:color="auto"/>
              <w:right w:val="single" w:sz="4" w:space="0" w:color="auto"/>
            </w:tcBorders>
            <w:shd w:val="clear" w:color="auto" w:fill="auto"/>
            <w:noWrap/>
            <w:vAlign w:val="bottom"/>
            <w:hideMark/>
          </w:tcPr>
          <w:p w14:paraId="4C224E38"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1</w:t>
            </w:r>
          </w:p>
        </w:tc>
        <w:tc>
          <w:tcPr>
            <w:tcW w:w="1162" w:type="dxa"/>
            <w:tcBorders>
              <w:top w:val="nil"/>
              <w:left w:val="nil"/>
              <w:bottom w:val="single" w:sz="4" w:space="0" w:color="auto"/>
              <w:right w:val="single" w:sz="4" w:space="0" w:color="auto"/>
            </w:tcBorders>
            <w:shd w:val="clear" w:color="auto" w:fill="auto"/>
            <w:noWrap/>
            <w:vAlign w:val="bottom"/>
            <w:hideMark/>
          </w:tcPr>
          <w:p w14:paraId="5B1F906F"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0.926149</w:t>
            </w:r>
          </w:p>
        </w:tc>
        <w:tc>
          <w:tcPr>
            <w:tcW w:w="1053" w:type="dxa"/>
            <w:tcBorders>
              <w:top w:val="nil"/>
              <w:left w:val="nil"/>
              <w:bottom w:val="single" w:sz="4" w:space="0" w:color="auto"/>
              <w:right w:val="single" w:sz="4" w:space="0" w:color="auto"/>
            </w:tcBorders>
            <w:shd w:val="clear" w:color="auto" w:fill="auto"/>
            <w:noWrap/>
            <w:vAlign w:val="bottom"/>
            <w:hideMark/>
          </w:tcPr>
          <w:p w14:paraId="64F4E736"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0.857752</w:t>
            </w:r>
          </w:p>
        </w:tc>
        <w:tc>
          <w:tcPr>
            <w:tcW w:w="1073" w:type="dxa"/>
            <w:tcBorders>
              <w:top w:val="nil"/>
              <w:left w:val="nil"/>
              <w:bottom w:val="single" w:sz="4" w:space="0" w:color="auto"/>
              <w:right w:val="single" w:sz="4" w:space="0" w:color="auto"/>
            </w:tcBorders>
            <w:shd w:val="clear" w:color="auto" w:fill="auto"/>
            <w:noWrap/>
            <w:vAlign w:val="bottom"/>
            <w:hideMark/>
          </w:tcPr>
          <w:p w14:paraId="2256EA3F"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0.794406</w:t>
            </w:r>
          </w:p>
        </w:tc>
        <w:tc>
          <w:tcPr>
            <w:tcW w:w="1276" w:type="dxa"/>
            <w:tcBorders>
              <w:top w:val="nil"/>
              <w:left w:val="nil"/>
              <w:bottom w:val="single" w:sz="4" w:space="0" w:color="auto"/>
              <w:right w:val="single" w:sz="4" w:space="0" w:color="auto"/>
            </w:tcBorders>
            <w:shd w:val="clear" w:color="auto" w:fill="auto"/>
            <w:noWrap/>
            <w:vAlign w:val="bottom"/>
            <w:hideMark/>
          </w:tcPr>
          <w:p w14:paraId="7B652E60"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0.735738</w:t>
            </w:r>
          </w:p>
        </w:tc>
        <w:tc>
          <w:tcPr>
            <w:tcW w:w="1053" w:type="dxa"/>
            <w:tcBorders>
              <w:top w:val="nil"/>
              <w:left w:val="nil"/>
              <w:bottom w:val="single" w:sz="4" w:space="0" w:color="auto"/>
              <w:right w:val="single" w:sz="4" w:space="0" w:color="auto"/>
            </w:tcBorders>
            <w:shd w:val="clear" w:color="auto" w:fill="auto"/>
            <w:noWrap/>
            <w:vAlign w:val="bottom"/>
            <w:hideMark/>
          </w:tcPr>
          <w:p w14:paraId="73B1219E"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0.681403</w:t>
            </w:r>
          </w:p>
        </w:tc>
        <w:tc>
          <w:tcPr>
            <w:tcW w:w="1390" w:type="dxa"/>
            <w:tcBorders>
              <w:top w:val="nil"/>
              <w:left w:val="nil"/>
              <w:bottom w:val="single" w:sz="4" w:space="0" w:color="auto"/>
              <w:right w:val="single" w:sz="4" w:space="0" w:color="auto"/>
            </w:tcBorders>
            <w:shd w:val="clear" w:color="auto" w:fill="auto"/>
            <w:noWrap/>
            <w:vAlign w:val="bottom"/>
            <w:hideMark/>
          </w:tcPr>
          <w:p w14:paraId="6D639744"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18.60811314</w:t>
            </w:r>
          </w:p>
        </w:tc>
      </w:tr>
      <w:tr w:rsidR="007B65C1" w:rsidRPr="007B65C1" w14:paraId="62F02AC8" w14:textId="77777777" w:rsidTr="00404BA8">
        <w:trPr>
          <w:trHeight w:val="29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5FB59F0" w14:textId="77777777" w:rsidR="007B65C1" w:rsidRPr="007B65C1" w:rsidRDefault="007B65C1" w:rsidP="007B65C1">
            <w:pPr>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PV as 2022</w:t>
            </w:r>
          </w:p>
        </w:tc>
        <w:tc>
          <w:tcPr>
            <w:tcW w:w="1390" w:type="dxa"/>
            <w:tcBorders>
              <w:top w:val="nil"/>
              <w:left w:val="nil"/>
              <w:bottom w:val="single" w:sz="4" w:space="0" w:color="auto"/>
              <w:right w:val="single" w:sz="4" w:space="0" w:color="auto"/>
            </w:tcBorders>
            <w:shd w:val="clear" w:color="auto" w:fill="auto"/>
            <w:noWrap/>
            <w:vAlign w:val="bottom"/>
            <w:hideMark/>
          </w:tcPr>
          <w:p w14:paraId="46B6560E"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28.83005912</w:t>
            </w:r>
          </w:p>
        </w:tc>
        <w:tc>
          <w:tcPr>
            <w:tcW w:w="1162" w:type="dxa"/>
            <w:tcBorders>
              <w:top w:val="nil"/>
              <w:left w:val="nil"/>
              <w:bottom w:val="single" w:sz="4" w:space="0" w:color="auto"/>
              <w:right w:val="single" w:sz="4" w:space="0" w:color="auto"/>
            </w:tcBorders>
            <w:shd w:val="clear" w:color="auto" w:fill="auto"/>
            <w:noWrap/>
            <w:vAlign w:val="bottom"/>
            <w:hideMark/>
          </w:tcPr>
          <w:p w14:paraId="5C103951"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16.34678</w:t>
            </w:r>
          </w:p>
        </w:tc>
        <w:tc>
          <w:tcPr>
            <w:tcW w:w="1053" w:type="dxa"/>
            <w:tcBorders>
              <w:top w:val="nil"/>
              <w:left w:val="nil"/>
              <w:bottom w:val="single" w:sz="4" w:space="0" w:color="auto"/>
              <w:right w:val="single" w:sz="4" w:space="0" w:color="auto"/>
            </w:tcBorders>
            <w:shd w:val="clear" w:color="auto" w:fill="auto"/>
            <w:noWrap/>
            <w:vAlign w:val="bottom"/>
            <w:hideMark/>
          </w:tcPr>
          <w:p w14:paraId="7573B748"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-11.2262</w:t>
            </w:r>
          </w:p>
        </w:tc>
        <w:tc>
          <w:tcPr>
            <w:tcW w:w="1073" w:type="dxa"/>
            <w:tcBorders>
              <w:top w:val="nil"/>
              <w:left w:val="nil"/>
              <w:bottom w:val="single" w:sz="4" w:space="0" w:color="auto"/>
              <w:right w:val="single" w:sz="4" w:space="0" w:color="auto"/>
            </w:tcBorders>
            <w:shd w:val="clear" w:color="auto" w:fill="auto"/>
            <w:noWrap/>
            <w:vAlign w:val="bottom"/>
            <w:hideMark/>
          </w:tcPr>
          <w:p w14:paraId="734B43B5"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20.94513</w:t>
            </w:r>
          </w:p>
        </w:tc>
        <w:tc>
          <w:tcPr>
            <w:tcW w:w="1276" w:type="dxa"/>
            <w:tcBorders>
              <w:top w:val="nil"/>
              <w:left w:val="nil"/>
              <w:bottom w:val="single" w:sz="4" w:space="0" w:color="auto"/>
              <w:right w:val="single" w:sz="4" w:space="0" w:color="auto"/>
            </w:tcBorders>
            <w:shd w:val="clear" w:color="auto" w:fill="auto"/>
            <w:noWrap/>
            <w:vAlign w:val="bottom"/>
            <w:hideMark/>
          </w:tcPr>
          <w:p w14:paraId="29716F04"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51.62825</w:t>
            </w:r>
          </w:p>
        </w:tc>
        <w:tc>
          <w:tcPr>
            <w:tcW w:w="1053" w:type="dxa"/>
            <w:tcBorders>
              <w:top w:val="nil"/>
              <w:left w:val="nil"/>
              <w:bottom w:val="single" w:sz="4" w:space="0" w:color="auto"/>
              <w:right w:val="single" w:sz="4" w:space="0" w:color="auto"/>
            </w:tcBorders>
            <w:shd w:val="clear" w:color="auto" w:fill="auto"/>
            <w:noWrap/>
            <w:vAlign w:val="bottom"/>
            <w:hideMark/>
          </w:tcPr>
          <w:p w14:paraId="7FBCB475"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47.80439</w:t>
            </w:r>
          </w:p>
        </w:tc>
        <w:tc>
          <w:tcPr>
            <w:tcW w:w="1390" w:type="dxa"/>
            <w:tcBorders>
              <w:top w:val="nil"/>
              <w:left w:val="nil"/>
              <w:bottom w:val="single" w:sz="4" w:space="0" w:color="auto"/>
              <w:right w:val="single" w:sz="4" w:space="0" w:color="auto"/>
            </w:tcBorders>
            <w:shd w:val="clear" w:color="auto" w:fill="auto"/>
            <w:noWrap/>
            <w:vAlign w:val="bottom"/>
            <w:hideMark/>
          </w:tcPr>
          <w:p w14:paraId="0563DBB4"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804.4874868</w:t>
            </w:r>
          </w:p>
        </w:tc>
      </w:tr>
      <w:tr w:rsidR="007B65C1" w:rsidRPr="007B65C1" w14:paraId="0685AD93" w14:textId="77777777" w:rsidTr="00404BA8">
        <w:trPr>
          <w:trHeight w:val="290"/>
        </w:trPr>
        <w:tc>
          <w:tcPr>
            <w:tcW w:w="1838" w:type="dxa"/>
            <w:tcBorders>
              <w:top w:val="nil"/>
              <w:left w:val="single" w:sz="4" w:space="0" w:color="auto"/>
              <w:bottom w:val="single" w:sz="4" w:space="0" w:color="auto"/>
              <w:right w:val="single" w:sz="4" w:space="0" w:color="auto"/>
            </w:tcBorders>
            <w:shd w:val="clear" w:color="000000" w:fill="538DD5"/>
            <w:noWrap/>
            <w:vAlign w:val="bottom"/>
            <w:hideMark/>
          </w:tcPr>
          <w:p w14:paraId="32A622CF" w14:textId="77777777" w:rsidR="007B65C1" w:rsidRPr="007B65C1" w:rsidRDefault="007B65C1" w:rsidP="007B65C1">
            <w:pPr>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PV as 2nd December 2022</w:t>
            </w:r>
          </w:p>
        </w:tc>
        <w:tc>
          <w:tcPr>
            <w:tcW w:w="1390" w:type="dxa"/>
            <w:tcBorders>
              <w:top w:val="nil"/>
              <w:left w:val="nil"/>
              <w:bottom w:val="single" w:sz="4" w:space="0" w:color="auto"/>
              <w:right w:val="single" w:sz="4" w:space="0" w:color="auto"/>
            </w:tcBorders>
            <w:shd w:val="clear" w:color="000000" w:fill="538DD5"/>
            <w:noWrap/>
            <w:vAlign w:val="bottom"/>
            <w:hideMark/>
          </w:tcPr>
          <w:p w14:paraId="2A92251C" w14:textId="77777777" w:rsidR="007B65C1" w:rsidRPr="007B65C1" w:rsidRDefault="007B65C1" w:rsidP="007B65C1">
            <w:pPr>
              <w:jc w:val="right"/>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952.7053704</w:t>
            </w:r>
          </w:p>
        </w:tc>
        <w:tc>
          <w:tcPr>
            <w:tcW w:w="1162" w:type="dxa"/>
            <w:tcBorders>
              <w:top w:val="nil"/>
              <w:left w:val="nil"/>
              <w:bottom w:val="nil"/>
              <w:right w:val="nil"/>
            </w:tcBorders>
            <w:shd w:val="clear" w:color="auto" w:fill="auto"/>
            <w:noWrap/>
            <w:vAlign w:val="bottom"/>
            <w:hideMark/>
          </w:tcPr>
          <w:p w14:paraId="43A668B5" w14:textId="77777777" w:rsidR="007B65C1" w:rsidRPr="007B65C1" w:rsidRDefault="007B65C1" w:rsidP="007B65C1">
            <w:pPr>
              <w:jc w:val="right"/>
              <w:rPr>
                <w:rFonts w:ascii="Calibri" w:eastAsia="Times New Roman" w:hAnsi="Calibri" w:cs="Calibri"/>
                <w:b/>
                <w:bCs/>
                <w:color w:val="000000"/>
                <w:sz w:val="22"/>
                <w:szCs w:val="22"/>
                <w:lang w:val="en-IN" w:eastAsia="en-IN"/>
              </w:rPr>
            </w:pPr>
          </w:p>
        </w:tc>
        <w:tc>
          <w:tcPr>
            <w:tcW w:w="1053" w:type="dxa"/>
            <w:tcBorders>
              <w:top w:val="nil"/>
              <w:left w:val="nil"/>
              <w:bottom w:val="nil"/>
              <w:right w:val="nil"/>
            </w:tcBorders>
            <w:shd w:val="clear" w:color="auto" w:fill="auto"/>
            <w:noWrap/>
            <w:vAlign w:val="bottom"/>
            <w:hideMark/>
          </w:tcPr>
          <w:p w14:paraId="620BB0CF"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073" w:type="dxa"/>
            <w:tcBorders>
              <w:top w:val="nil"/>
              <w:left w:val="nil"/>
              <w:bottom w:val="nil"/>
              <w:right w:val="nil"/>
            </w:tcBorders>
            <w:shd w:val="clear" w:color="auto" w:fill="auto"/>
            <w:noWrap/>
            <w:vAlign w:val="bottom"/>
            <w:hideMark/>
          </w:tcPr>
          <w:p w14:paraId="758AD2DB"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276" w:type="dxa"/>
            <w:tcBorders>
              <w:top w:val="nil"/>
              <w:left w:val="single" w:sz="4" w:space="0" w:color="auto"/>
              <w:bottom w:val="single" w:sz="4" w:space="0" w:color="auto"/>
              <w:right w:val="single" w:sz="4" w:space="0" w:color="auto"/>
            </w:tcBorders>
            <w:shd w:val="clear" w:color="000000" w:fill="538DD5"/>
            <w:noWrap/>
            <w:vAlign w:val="bottom"/>
            <w:hideMark/>
          </w:tcPr>
          <w:p w14:paraId="69C81DB5" w14:textId="77777777" w:rsidR="007B65C1" w:rsidRPr="007B65C1" w:rsidRDefault="007B65C1" w:rsidP="007B65C1">
            <w:pPr>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Total</w:t>
            </w:r>
          </w:p>
        </w:tc>
        <w:tc>
          <w:tcPr>
            <w:tcW w:w="1053" w:type="dxa"/>
            <w:tcBorders>
              <w:top w:val="nil"/>
              <w:left w:val="nil"/>
              <w:bottom w:val="single" w:sz="4" w:space="0" w:color="auto"/>
              <w:right w:val="single" w:sz="4" w:space="0" w:color="auto"/>
            </w:tcBorders>
            <w:shd w:val="clear" w:color="000000" w:fill="538DD5"/>
            <w:noWrap/>
            <w:vAlign w:val="bottom"/>
            <w:hideMark/>
          </w:tcPr>
          <w:p w14:paraId="3D28963A" w14:textId="77777777" w:rsidR="007B65C1" w:rsidRPr="007B65C1" w:rsidRDefault="007B65C1" w:rsidP="007B65C1">
            <w:pPr>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 </w:t>
            </w:r>
          </w:p>
        </w:tc>
        <w:tc>
          <w:tcPr>
            <w:tcW w:w="1390" w:type="dxa"/>
            <w:tcBorders>
              <w:top w:val="nil"/>
              <w:left w:val="nil"/>
              <w:bottom w:val="single" w:sz="4" w:space="0" w:color="auto"/>
              <w:right w:val="single" w:sz="4" w:space="0" w:color="auto"/>
            </w:tcBorders>
            <w:shd w:val="clear" w:color="000000" w:fill="538DD5"/>
            <w:noWrap/>
            <w:vAlign w:val="bottom"/>
            <w:hideMark/>
          </w:tcPr>
          <w:p w14:paraId="5917F102" w14:textId="77777777" w:rsidR="007B65C1" w:rsidRPr="007B65C1" w:rsidRDefault="007B65C1" w:rsidP="007B65C1">
            <w:pPr>
              <w:jc w:val="right"/>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958.8158675</w:t>
            </w:r>
          </w:p>
        </w:tc>
      </w:tr>
      <w:tr w:rsidR="007B65C1" w:rsidRPr="007B65C1" w14:paraId="2E7ECB01" w14:textId="77777777" w:rsidTr="00404BA8">
        <w:trPr>
          <w:trHeight w:val="290"/>
        </w:trPr>
        <w:tc>
          <w:tcPr>
            <w:tcW w:w="1838" w:type="dxa"/>
            <w:tcBorders>
              <w:top w:val="nil"/>
              <w:left w:val="nil"/>
              <w:bottom w:val="nil"/>
              <w:right w:val="nil"/>
            </w:tcBorders>
            <w:shd w:val="clear" w:color="auto" w:fill="auto"/>
            <w:noWrap/>
            <w:vAlign w:val="bottom"/>
            <w:hideMark/>
          </w:tcPr>
          <w:p w14:paraId="51609DB1" w14:textId="77777777" w:rsidR="007B65C1" w:rsidRPr="007B65C1" w:rsidRDefault="007B65C1" w:rsidP="007B65C1">
            <w:pPr>
              <w:jc w:val="right"/>
              <w:rPr>
                <w:rFonts w:ascii="Calibri" w:eastAsia="Times New Roman" w:hAnsi="Calibri" w:cs="Calibri"/>
                <w:b/>
                <w:bCs/>
                <w:color w:val="000000"/>
                <w:sz w:val="22"/>
                <w:szCs w:val="22"/>
                <w:lang w:val="en-IN" w:eastAsia="en-IN"/>
              </w:rPr>
            </w:pPr>
          </w:p>
        </w:tc>
        <w:tc>
          <w:tcPr>
            <w:tcW w:w="1390" w:type="dxa"/>
            <w:tcBorders>
              <w:top w:val="nil"/>
              <w:left w:val="nil"/>
              <w:bottom w:val="nil"/>
              <w:right w:val="nil"/>
            </w:tcBorders>
            <w:shd w:val="clear" w:color="auto" w:fill="auto"/>
            <w:noWrap/>
            <w:vAlign w:val="bottom"/>
            <w:hideMark/>
          </w:tcPr>
          <w:p w14:paraId="028E7F79"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162" w:type="dxa"/>
            <w:tcBorders>
              <w:top w:val="nil"/>
              <w:left w:val="nil"/>
              <w:bottom w:val="nil"/>
              <w:right w:val="nil"/>
            </w:tcBorders>
            <w:shd w:val="clear" w:color="auto" w:fill="auto"/>
            <w:noWrap/>
            <w:vAlign w:val="bottom"/>
            <w:hideMark/>
          </w:tcPr>
          <w:p w14:paraId="2FBCF536"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053" w:type="dxa"/>
            <w:tcBorders>
              <w:top w:val="nil"/>
              <w:left w:val="nil"/>
              <w:bottom w:val="nil"/>
              <w:right w:val="nil"/>
            </w:tcBorders>
            <w:shd w:val="clear" w:color="auto" w:fill="auto"/>
            <w:noWrap/>
            <w:vAlign w:val="bottom"/>
            <w:hideMark/>
          </w:tcPr>
          <w:p w14:paraId="7F17F18E"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073" w:type="dxa"/>
            <w:tcBorders>
              <w:top w:val="nil"/>
              <w:left w:val="nil"/>
              <w:bottom w:val="nil"/>
              <w:right w:val="nil"/>
            </w:tcBorders>
            <w:shd w:val="clear" w:color="auto" w:fill="auto"/>
            <w:noWrap/>
            <w:vAlign w:val="bottom"/>
            <w:hideMark/>
          </w:tcPr>
          <w:p w14:paraId="549ADCBB"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276" w:type="dxa"/>
            <w:tcBorders>
              <w:top w:val="nil"/>
              <w:left w:val="nil"/>
              <w:bottom w:val="nil"/>
              <w:right w:val="nil"/>
            </w:tcBorders>
            <w:shd w:val="clear" w:color="auto" w:fill="auto"/>
            <w:noWrap/>
            <w:vAlign w:val="bottom"/>
            <w:hideMark/>
          </w:tcPr>
          <w:p w14:paraId="5412CD6C"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053" w:type="dxa"/>
            <w:tcBorders>
              <w:top w:val="nil"/>
              <w:left w:val="nil"/>
              <w:bottom w:val="nil"/>
              <w:right w:val="nil"/>
            </w:tcBorders>
            <w:shd w:val="clear" w:color="auto" w:fill="auto"/>
            <w:noWrap/>
            <w:vAlign w:val="bottom"/>
            <w:hideMark/>
          </w:tcPr>
          <w:p w14:paraId="705F79C1"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390" w:type="dxa"/>
            <w:tcBorders>
              <w:top w:val="nil"/>
              <w:left w:val="nil"/>
              <w:bottom w:val="nil"/>
              <w:right w:val="nil"/>
            </w:tcBorders>
            <w:shd w:val="clear" w:color="auto" w:fill="auto"/>
            <w:noWrap/>
            <w:vAlign w:val="bottom"/>
            <w:hideMark/>
          </w:tcPr>
          <w:p w14:paraId="19CED2EF" w14:textId="77777777" w:rsidR="007B65C1" w:rsidRPr="007B65C1" w:rsidRDefault="007B65C1" w:rsidP="007B65C1">
            <w:pPr>
              <w:rPr>
                <w:rFonts w:ascii="Times New Roman" w:eastAsia="Times New Roman" w:hAnsi="Times New Roman" w:cs="Times New Roman"/>
                <w:sz w:val="20"/>
                <w:szCs w:val="20"/>
                <w:lang w:val="en-IN" w:eastAsia="en-IN"/>
              </w:rPr>
            </w:pPr>
          </w:p>
        </w:tc>
      </w:tr>
      <w:tr w:rsidR="007B65C1" w:rsidRPr="007B65C1" w14:paraId="3ECEA35B" w14:textId="77777777" w:rsidTr="00404BA8">
        <w:trPr>
          <w:trHeight w:val="290"/>
        </w:trPr>
        <w:tc>
          <w:tcPr>
            <w:tcW w:w="1838" w:type="dxa"/>
            <w:tcBorders>
              <w:top w:val="nil"/>
              <w:left w:val="nil"/>
              <w:bottom w:val="nil"/>
              <w:right w:val="nil"/>
            </w:tcBorders>
            <w:shd w:val="clear" w:color="auto" w:fill="auto"/>
            <w:noWrap/>
            <w:vAlign w:val="bottom"/>
            <w:hideMark/>
          </w:tcPr>
          <w:p w14:paraId="513EB756"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390" w:type="dxa"/>
            <w:tcBorders>
              <w:top w:val="nil"/>
              <w:left w:val="nil"/>
              <w:bottom w:val="nil"/>
              <w:right w:val="nil"/>
            </w:tcBorders>
            <w:shd w:val="clear" w:color="auto" w:fill="auto"/>
            <w:noWrap/>
            <w:vAlign w:val="bottom"/>
            <w:hideMark/>
          </w:tcPr>
          <w:p w14:paraId="6E0C2D24"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162" w:type="dxa"/>
            <w:tcBorders>
              <w:top w:val="nil"/>
              <w:left w:val="nil"/>
              <w:bottom w:val="nil"/>
              <w:right w:val="nil"/>
            </w:tcBorders>
            <w:shd w:val="clear" w:color="auto" w:fill="auto"/>
            <w:noWrap/>
            <w:vAlign w:val="bottom"/>
            <w:hideMark/>
          </w:tcPr>
          <w:p w14:paraId="642CA22E"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053" w:type="dxa"/>
            <w:tcBorders>
              <w:top w:val="nil"/>
              <w:left w:val="nil"/>
              <w:bottom w:val="nil"/>
              <w:right w:val="nil"/>
            </w:tcBorders>
            <w:shd w:val="clear" w:color="auto" w:fill="auto"/>
            <w:noWrap/>
            <w:vAlign w:val="bottom"/>
            <w:hideMark/>
          </w:tcPr>
          <w:p w14:paraId="1F56B254"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073" w:type="dxa"/>
            <w:tcBorders>
              <w:top w:val="nil"/>
              <w:left w:val="nil"/>
              <w:bottom w:val="nil"/>
              <w:right w:val="nil"/>
            </w:tcBorders>
            <w:shd w:val="clear" w:color="auto" w:fill="auto"/>
            <w:noWrap/>
            <w:vAlign w:val="bottom"/>
            <w:hideMark/>
          </w:tcPr>
          <w:p w14:paraId="5C03FE68"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276" w:type="dxa"/>
            <w:tcBorders>
              <w:top w:val="nil"/>
              <w:left w:val="nil"/>
              <w:bottom w:val="nil"/>
              <w:right w:val="nil"/>
            </w:tcBorders>
            <w:shd w:val="clear" w:color="auto" w:fill="auto"/>
            <w:noWrap/>
            <w:vAlign w:val="bottom"/>
            <w:hideMark/>
          </w:tcPr>
          <w:p w14:paraId="2043B6F9"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053" w:type="dxa"/>
            <w:tcBorders>
              <w:top w:val="nil"/>
              <w:left w:val="nil"/>
              <w:bottom w:val="nil"/>
              <w:right w:val="nil"/>
            </w:tcBorders>
            <w:shd w:val="clear" w:color="auto" w:fill="auto"/>
            <w:noWrap/>
            <w:vAlign w:val="bottom"/>
            <w:hideMark/>
          </w:tcPr>
          <w:p w14:paraId="60CF241B"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390" w:type="dxa"/>
            <w:tcBorders>
              <w:top w:val="nil"/>
              <w:left w:val="nil"/>
              <w:bottom w:val="nil"/>
              <w:right w:val="nil"/>
            </w:tcBorders>
            <w:shd w:val="clear" w:color="auto" w:fill="auto"/>
            <w:noWrap/>
            <w:vAlign w:val="bottom"/>
            <w:hideMark/>
          </w:tcPr>
          <w:p w14:paraId="05A8FBC0" w14:textId="77777777" w:rsidR="007B65C1" w:rsidRPr="007B65C1" w:rsidRDefault="007B65C1" w:rsidP="007B65C1">
            <w:pPr>
              <w:rPr>
                <w:rFonts w:ascii="Times New Roman" w:eastAsia="Times New Roman" w:hAnsi="Times New Roman" w:cs="Times New Roman"/>
                <w:sz w:val="20"/>
                <w:szCs w:val="20"/>
                <w:lang w:val="en-IN" w:eastAsia="en-IN"/>
              </w:rPr>
            </w:pPr>
          </w:p>
        </w:tc>
      </w:tr>
      <w:tr w:rsidR="007B65C1" w:rsidRPr="007B65C1" w14:paraId="33AAB830" w14:textId="77777777" w:rsidTr="00404BA8">
        <w:trPr>
          <w:trHeight w:val="29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DB327" w14:textId="77777777" w:rsidR="007B65C1" w:rsidRPr="007B65C1" w:rsidRDefault="007B65C1" w:rsidP="007B65C1">
            <w:pPr>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PV of Tax Shield</w:t>
            </w: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14:paraId="5DAE9185"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0</w:t>
            </w:r>
          </w:p>
        </w:tc>
        <w:tc>
          <w:tcPr>
            <w:tcW w:w="1162" w:type="dxa"/>
            <w:tcBorders>
              <w:top w:val="nil"/>
              <w:left w:val="nil"/>
              <w:bottom w:val="nil"/>
              <w:right w:val="nil"/>
            </w:tcBorders>
            <w:shd w:val="clear" w:color="auto" w:fill="auto"/>
            <w:noWrap/>
            <w:vAlign w:val="bottom"/>
            <w:hideMark/>
          </w:tcPr>
          <w:p w14:paraId="0D11778E" w14:textId="77777777" w:rsidR="007B65C1" w:rsidRPr="007B65C1" w:rsidRDefault="007B65C1" w:rsidP="007B65C1">
            <w:pPr>
              <w:jc w:val="right"/>
              <w:rPr>
                <w:rFonts w:ascii="Calibri" w:eastAsia="Times New Roman" w:hAnsi="Calibri" w:cs="Calibri"/>
                <w:color w:val="000000"/>
                <w:sz w:val="22"/>
                <w:szCs w:val="22"/>
                <w:lang w:val="en-IN" w:eastAsia="en-IN"/>
              </w:rPr>
            </w:pPr>
          </w:p>
        </w:tc>
        <w:tc>
          <w:tcPr>
            <w:tcW w:w="1053" w:type="dxa"/>
            <w:tcBorders>
              <w:top w:val="nil"/>
              <w:left w:val="nil"/>
              <w:bottom w:val="nil"/>
              <w:right w:val="nil"/>
            </w:tcBorders>
            <w:shd w:val="clear" w:color="auto" w:fill="auto"/>
            <w:noWrap/>
            <w:vAlign w:val="bottom"/>
            <w:hideMark/>
          </w:tcPr>
          <w:p w14:paraId="72244D10"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073" w:type="dxa"/>
            <w:tcBorders>
              <w:top w:val="nil"/>
              <w:left w:val="nil"/>
              <w:bottom w:val="nil"/>
              <w:right w:val="nil"/>
            </w:tcBorders>
            <w:shd w:val="clear" w:color="auto" w:fill="auto"/>
            <w:noWrap/>
            <w:vAlign w:val="bottom"/>
            <w:hideMark/>
          </w:tcPr>
          <w:p w14:paraId="75AD4DC7"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276" w:type="dxa"/>
            <w:tcBorders>
              <w:top w:val="nil"/>
              <w:left w:val="nil"/>
              <w:bottom w:val="nil"/>
              <w:right w:val="nil"/>
            </w:tcBorders>
            <w:shd w:val="clear" w:color="auto" w:fill="auto"/>
            <w:noWrap/>
            <w:vAlign w:val="bottom"/>
            <w:hideMark/>
          </w:tcPr>
          <w:p w14:paraId="148DCBF3"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053" w:type="dxa"/>
            <w:tcBorders>
              <w:top w:val="nil"/>
              <w:left w:val="nil"/>
              <w:bottom w:val="nil"/>
              <w:right w:val="nil"/>
            </w:tcBorders>
            <w:shd w:val="clear" w:color="auto" w:fill="auto"/>
            <w:noWrap/>
            <w:vAlign w:val="bottom"/>
            <w:hideMark/>
          </w:tcPr>
          <w:p w14:paraId="1ED5D81C"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390" w:type="dxa"/>
            <w:tcBorders>
              <w:top w:val="nil"/>
              <w:left w:val="nil"/>
              <w:bottom w:val="nil"/>
              <w:right w:val="nil"/>
            </w:tcBorders>
            <w:shd w:val="clear" w:color="auto" w:fill="auto"/>
            <w:noWrap/>
            <w:vAlign w:val="bottom"/>
            <w:hideMark/>
          </w:tcPr>
          <w:p w14:paraId="0CD071CF" w14:textId="77777777" w:rsidR="007B65C1" w:rsidRPr="007B65C1" w:rsidRDefault="007B65C1" w:rsidP="007B65C1">
            <w:pPr>
              <w:rPr>
                <w:rFonts w:ascii="Times New Roman" w:eastAsia="Times New Roman" w:hAnsi="Times New Roman" w:cs="Times New Roman"/>
                <w:sz w:val="20"/>
                <w:szCs w:val="20"/>
                <w:lang w:val="en-IN" w:eastAsia="en-IN"/>
              </w:rPr>
            </w:pPr>
          </w:p>
        </w:tc>
      </w:tr>
      <w:tr w:rsidR="007B65C1" w:rsidRPr="007B65C1" w14:paraId="3FB357AC" w14:textId="77777777" w:rsidTr="00404BA8">
        <w:trPr>
          <w:trHeight w:val="29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768E6CD" w14:textId="77777777" w:rsidR="007B65C1" w:rsidRPr="007B65C1" w:rsidRDefault="007B65C1" w:rsidP="007B65C1">
            <w:pPr>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Enterprise Value</w:t>
            </w:r>
          </w:p>
        </w:tc>
        <w:tc>
          <w:tcPr>
            <w:tcW w:w="1390" w:type="dxa"/>
            <w:tcBorders>
              <w:top w:val="nil"/>
              <w:left w:val="nil"/>
              <w:bottom w:val="single" w:sz="4" w:space="0" w:color="auto"/>
              <w:right w:val="single" w:sz="4" w:space="0" w:color="auto"/>
            </w:tcBorders>
            <w:shd w:val="clear" w:color="auto" w:fill="auto"/>
            <w:noWrap/>
            <w:vAlign w:val="bottom"/>
            <w:hideMark/>
          </w:tcPr>
          <w:p w14:paraId="4E6B0663"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952705370.4</w:t>
            </w:r>
          </w:p>
        </w:tc>
        <w:tc>
          <w:tcPr>
            <w:tcW w:w="1162" w:type="dxa"/>
            <w:tcBorders>
              <w:top w:val="nil"/>
              <w:left w:val="nil"/>
              <w:bottom w:val="nil"/>
              <w:right w:val="nil"/>
            </w:tcBorders>
            <w:shd w:val="clear" w:color="auto" w:fill="auto"/>
            <w:noWrap/>
            <w:vAlign w:val="bottom"/>
            <w:hideMark/>
          </w:tcPr>
          <w:p w14:paraId="7AE0DB7A" w14:textId="77777777" w:rsidR="007B65C1" w:rsidRPr="007B65C1" w:rsidRDefault="007B65C1" w:rsidP="007B65C1">
            <w:pPr>
              <w:jc w:val="right"/>
              <w:rPr>
                <w:rFonts w:ascii="Calibri" w:eastAsia="Times New Roman" w:hAnsi="Calibri" w:cs="Calibri"/>
                <w:color w:val="000000"/>
                <w:sz w:val="22"/>
                <w:szCs w:val="22"/>
                <w:lang w:val="en-IN" w:eastAsia="en-IN"/>
              </w:rPr>
            </w:pPr>
          </w:p>
        </w:tc>
        <w:tc>
          <w:tcPr>
            <w:tcW w:w="1053" w:type="dxa"/>
            <w:tcBorders>
              <w:top w:val="nil"/>
              <w:left w:val="nil"/>
              <w:bottom w:val="nil"/>
              <w:right w:val="nil"/>
            </w:tcBorders>
            <w:shd w:val="clear" w:color="auto" w:fill="auto"/>
            <w:noWrap/>
            <w:vAlign w:val="bottom"/>
            <w:hideMark/>
          </w:tcPr>
          <w:p w14:paraId="1F50DD85"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073" w:type="dxa"/>
            <w:tcBorders>
              <w:top w:val="nil"/>
              <w:left w:val="nil"/>
              <w:bottom w:val="nil"/>
              <w:right w:val="nil"/>
            </w:tcBorders>
            <w:shd w:val="clear" w:color="auto" w:fill="auto"/>
            <w:noWrap/>
            <w:vAlign w:val="bottom"/>
            <w:hideMark/>
          </w:tcPr>
          <w:p w14:paraId="7C4EF714"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276" w:type="dxa"/>
            <w:tcBorders>
              <w:top w:val="nil"/>
              <w:left w:val="nil"/>
              <w:bottom w:val="nil"/>
              <w:right w:val="nil"/>
            </w:tcBorders>
            <w:shd w:val="clear" w:color="auto" w:fill="auto"/>
            <w:noWrap/>
            <w:vAlign w:val="bottom"/>
            <w:hideMark/>
          </w:tcPr>
          <w:p w14:paraId="7C69AA35"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053" w:type="dxa"/>
            <w:tcBorders>
              <w:top w:val="nil"/>
              <w:left w:val="nil"/>
              <w:bottom w:val="nil"/>
              <w:right w:val="nil"/>
            </w:tcBorders>
            <w:shd w:val="clear" w:color="auto" w:fill="auto"/>
            <w:noWrap/>
            <w:vAlign w:val="bottom"/>
            <w:hideMark/>
          </w:tcPr>
          <w:p w14:paraId="7CB39B7A"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390" w:type="dxa"/>
            <w:tcBorders>
              <w:top w:val="nil"/>
              <w:left w:val="nil"/>
              <w:bottom w:val="nil"/>
              <w:right w:val="nil"/>
            </w:tcBorders>
            <w:shd w:val="clear" w:color="auto" w:fill="auto"/>
            <w:noWrap/>
            <w:vAlign w:val="bottom"/>
            <w:hideMark/>
          </w:tcPr>
          <w:p w14:paraId="11608AA3" w14:textId="77777777" w:rsidR="007B65C1" w:rsidRPr="007B65C1" w:rsidRDefault="007B65C1" w:rsidP="007B65C1">
            <w:pPr>
              <w:rPr>
                <w:rFonts w:ascii="Times New Roman" w:eastAsia="Times New Roman" w:hAnsi="Times New Roman" w:cs="Times New Roman"/>
                <w:sz w:val="20"/>
                <w:szCs w:val="20"/>
                <w:lang w:val="en-IN" w:eastAsia="en-IN"/>
              </w:rPr>
            </w:pPr>
          </w:p>
        </w:tc>
      </w:tr>
      <w:tr w:rsidR="007B65C1" w:rsidRPr="007B65C1" w14:paraId="2384330A" w14:textId="77777777" w:rsidTr="00404BA8">
        <w:trPr>
          <w:trHeight w:val="29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E372DC3" w14:textId="77777777" w:rsidR="007B65C1" w:rsidRPr="007B65C1" w:rsidRDefault="007B65C1" w:rsidP="007B65C1">
            <w:pPr>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Target Debt Aggregate</w:t>
            </w:r>
          </w:p>
        </w:tc>
        <w:tc>
          <w:tcPr>
            <w:tcW w:w="1390" w:type="dxa"/>
            <w:tcBorders>
              <w:top w:val="nil"/>
              <w:left w:val="nil"/>
              <w:bottom w:val="single" w:sz="4" w:space="0" w:color="auto"/>
              <w:right w:val="single" w:sz="4" w:space="0" w:color="auto"/>
            </w:tcBorders>
            <w:shd w:val="clear" w:color="auto" w:fill="auto"/>
            <w:noWrap/>
            <w:vAlign w:val="bottom"/>
            <w:hideMark/>
          </w:tcPr>
          <w:p w14:paraId="05E3683C"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625000000</w:t>
            </w:r>
          </w:p>
        </w:tc>
        <w:tc>
          <w:tcPr>
            <w:tcW w:w="1162" w:type="dxa"/>
            <w:tcBorders>
              <w:top w:val="nil"/>
              <w:left w:val="nil"/>
              <w:bottom w:val="nil"/>
              <w:right w:val="nil"/>
            </w:tcBorders>
            <w:shd w:val="clear" w:color="auto" w:fill="auto"/>
            <w:noWrap/>
            <w:vAlign w:val="bottom"/>
            <w:hideMark/>
          </w:tcPr>
          <w:p w14:paraId="002289D6" w14:textId="77777777" w:rsidR="007B65C1" w:rsidRPr="007B65C1" w:rsidRDefault="007B65C1" w:rsidP="007B65C1">
            <w:pPr>
              <w:jc w:val="right"/>
              <w:rPr>
                <w:rFonts w:ascii="Calibri" w:eastAsia="Times New Roman" w:hAnsi="Calibri" w:cs="Calibri"/>
                <w:color w:val="000000"/>
                <w:sz w:val="22"/>
                <w:szCs w:val="22"/>
                <w:lang w:val="en-IN" w:eastAsia="en-IN"/>
              </w:rPr>
            </w:pPr>
          </w:p>
        </w:tc>
        <w:tc>
          <w:tcPr>
            <w:tcW w:w="1053" w:type="dxa"/>
            <w:tcBorders>
              <w:top w:val="nil"/>
              <w:left w:val="nil"/>
              <w:bottom w:val="nil"/>
              <w:right w:val="nil"/>
            </w:tcBorders>
            <w:shd w:val="clear" w:color="auto" w:fill="auto"/>
            <w:noWrap/>
            <w:vAlign w:val="bottom"/>
            <w:hideMark/>
          </w:tcPr>
          <w:p w14:paraId="480E8785"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073" w:type="dxa"/>
            <w:tcBorders>
              <w:top w:val="nil"/>
              <w:left w:val="nil"/>
              <w:bottom w:val="nil"/>
              <w:right w:val="nil"/>
            </w:tcBorders>
            <w:shd w:val="clear" w:color="auto" w:fill="auto"/>
            <w:noWrap/>
            <w:vAlign w:val="bottom"/>
            <w:hideMark/>
          </w:tcPr>
          <w:p w14:paraId="7071DCAC"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276" w:type="dxa"/>
            <w:tcBorders>
              <w:top w:val="nil"/>
              <w:left w:val="nil"/>
              <w:bottom w:val="nil"/>
              <w:right w:val="nil"/>
            </w:tcBorders>
            <w:shd w:val="clear" w:color="auto" w:fill="auto"/>
            <w:noWrap/>
            <w:vAlign w:val="bottom"/>
            <w:hideMark/>
          </w:tcPr>
          <w:p w14:paraId="5B2B952A"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053" w:type="dxa"/>
            <w:tcBorders>
              <w:top w:val="nil"/>
              <w:left w:val="nil"/>
              <w:bottom w:val="nil"/>
              <w:right w:val="nil"/>
            </w:tcBorders>
            <w:shd w:val="clear" w:color="auto" w:fill="auto"/>
            <w:noWrap/>
            <w:vAlign w:val="bottom"/>
            <w:hideMark/>
          </w:tcPr>
          <w:p w14:paraId="32064EA4"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390" w:type="dxa"/>
            <w:tcBorders>
              <w:top w:val="nil"/>
              <w:left w:val="nil"/>
              <w:bottom w:val="nil"/>
              <w:right w:val="nil"/>
            </w:tcBorders>
            <w:shd w:val="clear" w:color="auto" w:fill="auto"/>
            <w:noWrap/>
            <w:vAlign w:val="bottom"/>
            <w:hideMark/>
          </w:tcPr>
          <w:p w14:paraId="3703B003" w14:textId="77777777" w:rsidR="007B65C1" w:rsidRPr="007B65C1" w:rsidRDefault="007B65C1" w:rsidP="007B65C1">
            <w:pPr>
              <w:rPr>
                <w:rFonts w:ascii="Times New Roman" w:eastAsia="Times New Roman" w:hAnsi="Times New Roman" w:cs="Times New Roman"/>
                <w:sz w:val="20"/>
                <w:szCs w:val="20"/>
                <w:lang w:val="en-IN" w:eastAsia="en-IN"/>
              </w:rPr>
            </w:pPr>
          </w:p>
        </w:tc>
      </w:tr>
      <w:tr w:rsidR="007B65C1" w:rsidRPr="007B65C1" w14:paraId="5B41F635" w14:textId="77777777" w:rsidTr="00404BA8">
        <w:trPr>
          <w:trHeight w:val="29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1A6D935" w14:textId="77777777" w:rsidR="007B65C1" w:rsidRPr="007B65C1" w:rsidRDefault="007B65C1" w:rsidP="007B65C1">
            <w:pPr>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Equity Value</w:t>
            </w:r>
          </w:p>
        </w:tc>
        <w:tc>
          <w:tcPr>
            <w:tcW w:w="1390" w:type="dxa"/>
            <w:tcBorders>
              <w:top w:val="nil"/>
              <w:left w:val="nil"/>
              <w:bottom w:val="single" w:sz="4" w:space="0" w:color="auto"/>
              <w:right w:val="single" w:sz="4" w:space="0" w:color="auto"/>
            </w:tcBorders>
            <w:shd w:val="clear" w:color="auto" w:fill="auto"/>
            <w:noWrap/>
            <w:vAlign w:val="bottom"/>
            <w:hideMark/>
          </w:tcPr>
          <w:p w14:paraId="18E7802D"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327705370.4</w:t>
            </w:r>
          </w:p>
        </w:tc>
        <w:tc>
          <w:tcPr>
            <w:tcW w:w="1162" w:type="dxa"/>
            <w:tcBorders>
              <w:top w:val="nil"/>
              <w:left w:val="nil"/>
              <w:bottom w:val="nil"/>
              <w:right w:val="nil"/>
            </w:tcBorders>
            <w:shd w:val="clear" w:color="auto" w:fill="auto"/>
            <w:noWrap/>
            <w:vAlign w:val="bottom"/>
            <w:hideMark/>
          </w:tcPr>
          <w:p w14:paraId="042D017D" w14:textId="77777777" w:rsidR="007B65C1" w:rsidRPr="007B65C1" w:rsidRDefault="007B65C1" w:rsidP="007B65C1">
            <w:pPr>
              <w:jc w:val="right"/>
              <w:rPr>
                <w:rFonts w:ascii="Calibri" w:eastAsia="Times New Roman" w:hAnsi="Calibri" w:cs="Calibri"/>
                <w:color w:val="000000"/>
                <w:sz w:val="22"/>
                <w:szCs w:val="22"/>
                <w:lang w:val="en-IN" w:eastAsia="en-IN"/>
              </w:rPr>
            </w:pPr>
          </w:p>
        </w:tc>
        <w:tc>
          <w:tcPr>
            <w:tcW w:w="1053" w:type="dxa"/>
            <w:tcBorders>
              <w:top w:val="nil"/>
              <w:left w:val="nil"/>
              <w:bottom w:val="nil"/>
              <w:right w:val="nil"/>
            </w:tcBorders>
            <w:shd w:val="clear" w:color="auto" w:fill="auto"/>
            <w:noWrap/>
            <w:vAlign w:val="bottom"/>
            <w:hideMark/>
          </w:tcPr>
          <w:p w14:paraId="4D9EC24B"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073" w:type="dxa"/>
            <w:tcBorders>
              <w:top w:val="nil"/>
              <w:left w:val="nil"/>
              <w:bottom w:val="nil"/>
              <w:right w:val="nil"/>
            </w:tcBorders>
            <w:shd w:val="clear" w:color="auto" w:fill="auto"/>
            <w:noWrap/>
            <w:vAlign w:val="bottom"/>
            <w:hideMark/>
          </w:tcPr>
          <w:p w14:paraId="5E90A5B0"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276" w:type="dxa"/>
            <w:tcBorders>
              <w:top w:val="nil"/>
              <w:left w:val="nil"/>
              <w:bottom w:val="nil"/>
              <w:right w:val="nil"/>
            </w:tcBorders>
            <w:shd w:val="clear" w:color="auto" w:fill="auto"/>
            <w:noWrap/>
            <w:vAlign w:val="bottom"/>
            <w:hideMark/>
          </w:tcPr>
          <w:p w14:paraId="6E314719"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053" w:type="dxa"/>
            <w:tcBorders>
              <w:top w:val="nil"/>
              <w:left w:val="nil"/>
              <w:bottom w:val="nil"/>
              <w:right w:val="nil"/>
            </w:tcBorders>
            <w:shd w:val="clear" w:color="auto" w:fill="auto"/>
            <w:noWrap/>
            <w:vAlign w:val="bottom"/>
            <w:hideMark/>
          </w:tcPr>
          <w:p w14:paraId="73817514"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390" w:type="dxa"/>
            <w:tcBorders>
              <w:top w:val="nil"/>
              <w:left w:val="nil"/>
              <w:bottom w:val="nil"/>
              <w:right w:val="nil"/>
            </w:tcBorders>
            <w:shd w:val="clear" w:color="auto" w:fill="auto"/>
            <w:noWrap/>
            <w:vAlign w:val="bottom"/>
            <w:hideMark/>
          </w:tcPr>
          <w:p w14:paraId="487568CA" w14:textId="77777777" w:rsidR="007B65C1" w:rsidRPr="007B65C1" w:rsidRDefault="007B65C1" w:rsidP="007B65C1">
            <w:pPr>
              <w:rPr>
                <w:rFonts w:ascii="Times New Roman" w:eastAsia="Times New Roman" w:hAnsi="Times New Roman" w:cs="Times New Roman"/>
                <w:sz w:val="20"/>
                <w:szCs w:val="20"/>
                <w:lang w:val="en-IN" w:eastAsia="en-IN"/>
              </w:rPr>
            </w:pPr>
          </w:p>
        </w:tc>
      </w:tr>
      <w:tr w:rsidR="007B65C1" w:rsidRPr="007B65C1" w14:paraId="50AE7DE4" w14:textId="77777777" w:rsidTr="00404BA8">
        <w:trPr>
          <w:trHeight w:val="290"/>
        </w:trPr>
        <w:tc>
          <w:tcPr>
            <w:tcW w:w="1838" w:type="dxa"/>
            <w:tcBorders>
              <w:top w:val="nil"/>
              <w:left w:val="single" w:sz="4" w:space="0" w:color="auto"/>
              <w:bottom w:val="single" w:sz="4" w:space="0" w:color="auto"/>
              <w:right w:val="single" w:sz="4" w:space="0" w:color="auto"/>
            </w:tcBorders>
            <w:shd w:val="clear" w:color="000000" w:fill="538DD5"/>
            <w:noWrap/>
            <w:vAlign w:val="bottom"/>
            <w:hideMark/>
          </w:tcPr>
          <w:p w14:paraId="0C8F2D84" w14:textId="77777777" w:rsidR="007B65C1" w:rsidRPr="007B65C1" w:rsidRDefault="007B65C1" w:rsidP="007B65C1">
            <w:pPr>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Percentage Change</w:t>
            </w:r>
          </w:p>
        </w:tc>
        <w:tc>
          <w:tcPr>
            <w:tcW w:w="1390" w:type="dxa"/>
            <w:tcBorders>
              <w:top w:val="nil"/>
              <w:left w:val="nil"/>
              <w:bottom w:val="single" w:sz="4" w:space="0" w:color="auto"/>
              <w:right w:val="single" w:sz="4" w:space="0" w:color="auto"/>
            </w:tcBorders>
            <w:shd w:val="clear" w:color="000000" w:fill="538DD5"/>
            <w:noWrap/>
            <w:vAlign w:val="bottom"/>
            <w:hideMark/>
          </w:tcPr>
          <w:p w14:paraId="6BD1E7C2" w14:textId="77777777" w:rsidR="007B65C1" w:rsidRPr="007B65C1" w:rsidRDefault="007B65C1" w:rsidP="007B65C1">
            <w:pPr>
              <w:jc w:val="right"/>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-5.39%</w:t>
            </w:r>
          </w:p>
        </w:tc>
        <w:tc>
          <w:tcPr>
            <w:tcW w:w="1162" w:type="dxa"/>
            <w:tcBorders>
              <w:top w:val="nil"/>
              <w:left w:val="nil"/>
              <w:bottom w:val="nil"/>
              <w:right w:val="nil"/>
            </w:tcBorders>
            <w:shd w:val="clear" w:color="auto" w:fill="auto"/>
            <w:noWrap/>
            <w:vAlign w:val="bottom"/>
            <w:hideMark/>
          </w:tcPr>
          <w:p w14:paraId="6EB4F044" w14:textId="77777777" w:rsidR="007B65C1" w:rsidRPr="007B65C1" w:rsidRDefault="007B65C1" w:rsidP="007B65C1">
            <w:pPr>
              <w:jc w:val="right"/>
              <w:rPr>
                <w:rFonts w:ascii="Calibri" w:eastAsia="Times New Roman" w:hAnsi="Calibri" w:cs="Calibri"/>
                <w:b/>
                <w:bCs/>
                <w:color w:val="000000"/>
                <w:sz w:val="22"/>
                <w:szCs w:val="22"/>
                <w:lang w:val="en-IN" w:eastAsia="en-IN"/>
              </w:rPr>
            </w:pPr>
          </w:p>
        </w:tc>
        <w:tc>
          <w:tcPr>
            <w:tcW w:w="1053" w:type="dxa"/>
            <w:tcBorders>
              <w:top w:val="nil"/>
              <w:left w:val="nil"/>
              <w:bottom w:val="nil"/>
              <w:right w:val="nil"/>
            </w:tcBorders>
            <w:shd w:val="clear" w:color="auto" w:fill="auto"/>
            <w:noWrap/>
            <w:vAlign w:val="bottom"/>
            <w:hideMark/>
          </w:tcPr>
          <w:p w14:paraId="2E724509"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073" w:type="dxa"/>
            <w:tcBorders>
              <w:top w:val="nil"/>
              <w:left w:val="nil"/>
              <w:bottom w:val="nil"/>
              <w:right w:val="nil"/>
            </w:tcBorders>
            <w:shd w:val="clear" w:color="auto" w:fill="auto"/>
            <w:noWrap/>
            <w:vAlign w:val="bottom"/>
            <w:hideMark/>
          </w:tcPr>
          <w:p w14:paraId="70CF2622"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276" w:type="dxa"/>
            <w:tcBorders>
              <w:top w:val="nil"/>
              <w:left w:val="nil"/>
              <w:bottom w:val="nil"/>
              <w:right w:val="nil"/>
            </w:tcBorders>
            <w:shd w:val="clear" w:color="auto" w:fill="auto"/>
            <w:noWrap/>
            <w:vAlign w:val="bottom"/>
            <w:hideMark/>
          </w:tcPr>
          <w:p w14:paraId="55F6EB93"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053" w:type="dxa"/>
            <w:tcBorders>
              <w:top w:val="nil"/>
              <w:left w:val="nil"/>
              <w:bottom w:val="nil"/>
              <w:right w:val="nil"/>
            </w:tcBorders>
            <w:shd w:val="clear" w:color="auto" w:fill="auto"/>
            <w:noWrap/>
            <w:vAlign w:val="bottom"/>
            <w:hideMark/>
          </w:tcPr>
          <w:p w14:paraId="7CB83EBD"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390" w:type="dxa"/>
            <w:tcBorders>
              <w:top w:val="nil"/>
              <w:left w:val="nil"/>
              <w:bottom w:val="nil"/>
              <w:right w:val="nil"/>
            </w:tcBorders>
            <w:shd w:val="clear" w:color="auto" w:fill="auto"/>
            <w:noWrap/>
            <w:vAlign w:val="bottom"/>
            <w:hideMark/>
          </w:tcPr>
          <w:p w14:paraId="434BDEC8" w14:textId="77777777" w:rsidR="007B65C1" w:rsidRPr="007B65C1" w:rsidRDefault="007B65C1" w:rsidP="007B65C1">
            <w:pPr>
              <w:rPr>
                <w:rFonts w:ascii="Times New Roman" w:eastAsia="Times New Roman" w:hAnsi="Times New Roman" w:cs="Times New Roman"/>
                <w:sz w:val="20"/>
                <w:szCs w:val="20"/>
                <w:lang w:val="en-IN" w:eastAsia="en-IN"/>
              </w:rPr>
            </w:pPr>
          </w:p>
        </w:tc>
      </w:tr>
      <w:tr w:rsidR="007B65C1" w:rsidRPr="007B65C1" w14:paraId="146114EC" w14:textId="77777777" w:rsidTr="00404BA8">
        <w:trPr>
          <w:trHeight w:val="29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120687F" w14:textId="77777777" w:rsidR="007B65C1" w:rsidRPr="007B65C1" w:rsidRDefault="007B65C1" w:rsidP="007B65C1">
            <w:pPr>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No of shares</w:t>
            </w:r>
          </w:p>
        </w:tc>
        <w:tc>
          <w:tcPr>
            <w:tcW w:w="1390" w:type="dxa"/>
            <w:tcBorders>
              <w:top w:val="nil"/>
              <w:left w:val="nil"/>
              <w:bottom w:val="single" w:sz="4" w:space="0" w:color="auto"/>
              <w:right w:val="single" w:sz="4" w:space="0" w:color="auto"/>
            </w:tcBorders>
            <w:shd w:val="clear" w:color="auto" w:fill="auto"/>
            <w:noWrap/>
            <w:vAlign w:val="bottom"/>
            <w:hideMark/>
          </w:tcPr>
          <w:p w14:paraId="6355B3B7" w14:textId="77777777" w:rsidR="007B65C1" w:rsidRPr="007B65C1" w:rsidRDefault="007B65C1" w:rsidP="007B65C1">
            <w:pPr>
              <w:jc w:val="right"/>
              <w:rPr>
                <w:rFonts w:ascii="Calibri" w:eastAsia="Times New Roman" w:hAnsi="Calibri" w:cs="Calibri"/>
                <w:color w:val="000000"/>
                <w:sz w:val="22"/>
                <w:szCs w:val="22"/>
                <w:lang w:val="en-IN" w:eastAsia="en-IN"/>
              </w:rPr>
            </w:pPr>
            <w:r w:rsidRPr="007B65C1">
              <w:rPr>
                <w:rFonts w:ascii="Calibri" w:eastAsia="Times New Roman" w:hAnsi="Calibri" w:cs="Calibri"/>
                <w:color w:val="000000"/>
                <w:sz w:val="22"/>
                <w:szCs w:val="22"/>
                <w:lang w:val="en-IN" w:eastAsia="en-IN"/>
              </w:rPr>
              <w:t>98687233</w:t>
            </w:r>
          </w:p>
        </w:tc>
        <w:tc>
          <w:tcPr>
            <w:tcW w:w="1162" w:type="dxa"/>
            <w:tcBorders>
              <w:top w:val="nil"/>
              <w:left w:val="nil"/>
              <w:bottom w:val="nil"/>
              <w:right w:val="nil"/>
            </w:tcBorders>
            <w:shd w:val="clear" w:color="auto" w:fill="auto"/>
            <w:noWrap/>
            <w:vAlign w:val="bottom"/>
            <w:hideMark/>
          </w:tcPr>
          <w:p w14:paraId="69DC5CAD" w14:textId="77777777" w:rsidR="007B65C1" w:rsidRPr="007B65C1" w:rsidRDefault="007B65C1" w:rsidP="007B65C1">
            <w:pPr>
              <w:jc w:val="right"/>
              <w:rPr>
                <w:rFonts w:ascii="Calibri" w:eastAsia="Times New Roman" w:hAnsi="Calibri" w:cs="Calibri"/>
                <w:color w:val="000000"/>
                <w:sz w:val="22"/>
                <w:szCs w:val="22"/>
                <w:lang w:val="en-IN" w:eastAsia="en-IN"/>
              </w:rPr>
            </w:pPr>
          </w:p>
        </w:tc>
        <w:tc>
          <w:tcPr>
            <w:tcW w:w="1053" w:type="dxa"/>
            <w:tcBorders>
              <w:top w:val="nil"/>
              <w:left w:val="nil"/>
              <w:bottom w:val="nil"/>
              <w:right w:val="nil"/>
            </w:tcBorders>
            <w:shd w:val="clear" w:color="auto" w:fill="auto"/>
            <w:noWrap/>
            <w:vAlign w:val="bottom"/>
            <w:hideMark/>
          </w:tcPr>
          <w:p w14:paraId="45DC59F3"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073" w:type="dxa"/>
            <w:tcBorders>
              <w:top w:val="nil"/>
              <w:left w:val="nil"/>
              <w:bottom w:val="nil"/>
              <w:right w:val="nil"/>
            </w:tcBorders>
            <w:shd w:val="clear" w:color="auto" w:fill="auto"/>
            <w:noWrap/>
            <w:vAlign w:val="bottom"/>
            <w:hideMark/>
          </w:tcPr>
          <w:p w14:paraId="317397D8"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276" w:type="dxa"/>
            <w:tcBorders>
              <w:top w:val="nil"/>
              <w:left w:val="nil"/>
              <w:bottom w:val="nil"/>
              <w:right w:val="nil"/>
            </w:tcBorders>
            <w:shd w:val="clear" w:color="auto" w:fill="auto"/>
            <w:noWrap/>
            <w:vAlign w:val="bottom"/>
            <w:hideMark/>
          </w:tcPr>
          <w:p w14:paraId="3A9507C5"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053" w:type="dxa"/>
            <w:tcBorders>
              <w:top w:val="nil"/>
              <w:left w:val="nil"/>
              <w:bottom w:val="nil"/>
              <w:right w:val="nil"/>
            </w:tcBorders>
            <w:shd w:val="clear" w:color="auto" w:fill="auto"/>
            <w:noWrap/>
            <w:vAlign w:val="bottom"/>
            <w:hideMark/>
          </w:tcPr>
          <w:p w14:paraId="0257E34B"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390" w:type="dxa"/>
            <w:tcBorders>
              <w:top w:val="nil"/>
              <w:left w:val="nil"/>
              <w:bottom w:val="nil"/>
              <w:right w:val="nil"/>
            </w:tcBorders>
            <w:shd w:val="clear" w:color="auto" w:fill="auto"/>
            <w:noWrap/>
            <w:vAlign w:val="bottom"/>
            <w:hideMark/>
          </w:tcPr>
          <w:p w14:paraId="00B755BE" w14:textId="77777777" w:rsidR="007B65C1" w:rsidRPr="007B65C1" w:rsidRDefault="007B65C1" w:rsidP="007B65C1">
            <w:pPr>
              <w:rPr>
                <w:rFonts w:ascii="Times New Roman" w:eastAsia="Times New Roman" w:hAnsi="Times New Roman" w:cs="Times New Roman"/>
                <w:sz w:val="20"/>
                <w:szCs w:val="20"/>
                <w:lang w:val="en-IN" w:eastAsia="en-IN"/>
              </w:rPr>
            </w:pPr>
          </w:p>
        </w:tc>
      </w:tr>
      <w:tr w:rsidR="007B65C1" w:rsidRPr="007B65C1" w14:paraId="4E8F5FFD" w14:textId="77777777" w:rsidTr="00404BA8">
        <w:trPr>
          <w:trHeight w:val="290"/>
        </w:trPr>
        <w:tc>
          <w:tcPr>
            <w:tcW w:w="1838" w:type="dxa"/>
            <w:tcBorders>
              <w:top w:val="nil"/>
              <w:left w:val="single" w:sz="4" w:space="0" w:color="auto"/>
              <w:bottom w:val="single" w:sz="4" w:space="0" w:color="auto"/>
              <w:right w:val="single" w:sz="4" w:space="0" w:color="auto"/>
            </w:tcBorders>
            <w:shd w:val="clear" w:color="000000" w:fill="538DD5"/>
            <w:noWrap/>
            <w:vAlign w:val="bottom"/>
            <w:hideMark/>
          </w:tcPr>
          <w:p w14:paraId="6B6C635D" w14:textId="77777777" w:rsidR="007B65C1" w:rsidRPr="007B65C1" w:rsidRDefault="007B65C1" w:rsidP="007B65C1">
            <w:pPr>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Price (Estimated)</w:t>
            </w:r>
          </w:p>
        </w:tc>
        <w:tc>
          <w:tcPr>
            <w:tcW w:w="1390" w:type="dxa"/>
            <w:tcBorders>
              <w:top w:val="nil"/>
              <w:left w:val="nil"/>
              <w:bottom w:val="single" w:sz="4" w:space="0" w:color="auto"/>
              <w:right w:val="single" w:sz="4" w:space="0" w:color="auto"/>
            </w:tcBorders>
            <w:shd w:val="clear" w:color="000000" w:fill="538DD5"/>
            <w:noWrap/>
            <w:vAlign w:val="bottom"/>
            <w:hideMark/>
          </w:tcPr>
          <w:p w14:paraId="382CD85C" w14:textId="77777777" w:rsidR="007B65C1" w:rsidRPr="007B65C1" w:rsidRDefault="007B65C1" w:rsidP="007B65C1">
            <w:pPr>
              <w:jc w:val="right"/>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3.32064605</w:t>
            </w:r>
          </w:p>
        </w:tc>
        <w:tc>
          <w:tcPr>
            <w:tcW w:w="1162" w:type="dxa"/>
            <w:tcBorders>
              <w:top w:val="nil"/>
              <w:left w:val="nil"/>
              <w:bottom w:val="nil"/>
              <w:right w:val="nil"/>
            </w:tcBorders>
            <w:shd w:val="clear" w:color="auto" w:fill="auto"/>
            <w:noWrap/>
            <w:vAlign w:val="bottom"/>
            <w:hideMark/>
          </w:tcPr>
          <w:p w14:paraId="2B750AEE" w14:textId="77777777" w:rsidR="007B65C1" w:rsidRPr="007B65C1" w:rsidRDefault="007B65C1" w:rsidP="007B65C1">
            <w:pPr>
              <w:jc w:val="right"/>
              <w:rPr>
                <w:rFonts w:ascii="Calibri" w:eastAsia="Times New Roman" w:hAnsi="Calibri" w:cs="Calibri"/>
                <w:b/>
                <w:bCs/>
                <w:color w:val="000000"/>
                <w:sz w:val="22"/>
                <w:szCs w:val="22"/>
                <w:lang w:val="en-IN" w:eastAsia="en-IN"/>
              </w:rPr>
            </w:pPr>
          </w:p>
        </w:tc>
        <w:tc>
          <w:tcPr>
            <w:tcW w:w="1053" w:type="dxa"/>
            <w:tcBorders>
              <w:top w:val="nil"/>
              <w:left w:val="nil"/>
              <w:bottom w:val="nil"/>
              <w:right w:val="nil"/>
            </w:tcBorders>
            <w:shd w:val="clear" w:color="auto" w:fill="auto"/>
            <w:noWrap/>
            <w:vAlign w:val="bottom"/>
            <w:hideMark/>
          </w:tcPr>
          <w:p w14:paraId="44310734"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073" w:type="dxa"/>
            <w:tcBorders>
              <w:top w:val="nil"/>
              <w:left w:val="nil"/>
              <w:bottom w:val="nil"/>
              <w:right w:val="nil"/>
            </w:tcBorders>
            <w:shd w:val="clear" w:color="auto" w:fill="auto"/>
            <w:noWrap/>
            <w:vAlign w:val="bottom"/>
            <w:hideMark/>
          </w:tcPr>
          <w:p w14:paraId="27EE3F51"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276" w:type="dxa"/>
            <w:tcBorders>
              <w:top w:val="nil"/>
              <w:left w:val="nil"/>
              <w:bottom w:val="nil"/>
              <w:right w:val="nil"/>
            </w:tcBorders>
            <w:shd w:val="clear" w:color="auto" w:fill="auto"/>
            <w:noWrap/>
            <w:vAlign w:val="bottom"/>
            <w:hideMark/>
          </w:tcPr>
          <w:p w14:paraId="79FFCFB4"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053" w:type="dxa"/>
            <w:tcBorders>
              <w:top w:val="nil"/>
              <w:left w:val="nil"/>
              <w:bottom w:val="nil"/>
              <w:right w:val="nil"/>
            </w:tcBorders>
            <w:shd w:val="clear" w:color="auto" w:fill="auto"/>
            <w:noWrap/>
            <w:vAlign w:val="bottom"/>
            <w:hideMark/>
          </w:tcPr>
          <w:p w14:paraId="65D01EF4"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390" w:type="dxa"/>
            <w:tcBorders>
              <w:top w:val="nil"/>
              <w:left w:val="nil"/>
              <w:bottom w:val="nil"/>
              <w:right w:val="nil"/>
            </w:tcBorders>
            <w:shd w:val="clear" w:color="auto" w:fill="auto"/>
            <w:noWrap/>
            <w:vAlign w:val="bottom"/>
            <w:hideMark/>
          </w:tcPr>
          <w:p w14:paraId="7C406C80" w14:textId="77777777" w:rsidR="007B65C1" w:rsidRPr="007B65C1" w:rsidRDefault="007B65C1" w:rsidP="007B65C1">
            <w:pPr>
              <w:rPr>
                <w:rFonts w:ascii="Times New Roman" w:eastAsia="Times New Roman" w:hAnsi="Times New Roman" w:cs="Times New Roman"/>
                <w:sz w:val="20"/>
                <w:szCs w:val="20"/>
                <w:lang w:val="en-IN" w:eastAsia="en-IN"/>
              </w:rPr>
            </w:pPr>
          </w:p>
        </w:tc>
      </w:tr>
      <w:tr w:rsidR="007B65C1" w:rsidRPr="007B65C1" w14:paraId="1FA8910A" w14:textId="77777777" w:rsidTr="00404BA8">
        <w:trPr>
          <w:trHeight w:val="290"/>
        </w:trPr>
        <w:tc>
          <w:tcPr>
            <w:tcW w:w="1838" w:type="dxa"/>
            <w:tcBorders>
              <w:top w:val="nil"/>
              <w:left w:val="single" w:sz="4" w:space="0" w:color="auto"/>
              <w:bottom w:val="single" w:sz="4" w:space="0" w:color="auto"/>
              <w:right w:val="single" w:sz="4" w:space="0" w:color="auto"/>
            </w:tcBorders>
            <w:shd w:val="clear" w:color="000000" w:fill="538DD5"/>
            <w:noWrap/>
            <w:vAlign w:val="bottom"/>
            <w:hideMark/>
          </w:tcPr>
          <w:p w14:paraId="6D623F8E" w14:textId="77777777" w:rsidR="007B65C1" w:rsidRPr="007B65C1" w:rsidRDefault="007B65C1" w:rsidP="007B65C1">
            <w:pPr>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Price (Actual)</w:t>
            </w:r>
          </w:p>
        </w:tc>
        <w:tc>
          <w:tcPr>
            <w:tcW w:w="1390" w:type="dxa"/>
            <w:tcBorders>
              <w:top w:val="nil"/>
              <w:left w:val="nil"/>
              <w:bottom w:val="single" w:sz="4" w:space="0" w:color="auto"/>
              <w:right w:val="single" w:sz="4" w:space="0" w:color="auto"/>
            </w:tcBorders>
            <w:shd w:val="clear" w:color="000000" w:fill="538DD5"/>
            <w:noWrap/>
            <w:vAlign w:val="bottom"/>
            <w:hideMark/>
          </w:tcPr>
          <w:p w14:paraId="6D2D11D6" w14:textId="77777777" w:rsidR="007B65C1" w:rsidRPr="007B65C1" w:rsidRDefault="007B65C1" w:rsidP="007B65C1">
            <w:pPr>
              <w:jc w:val="right"/>
              <w:rPr>
                <w:rFonts w:ascii="Calibri" w:eastAsia="Times New Roman" w:hAnsi="Calibri" w:cs="Calibri"/>
                <w:b/>
                <w:bCs/>
                <w:color w:val="000000"/>
                <w:sz w:val="22"/>
                <w:szCs w:val="22"/>
                <w:lang w:val="en-IN" w:eastAsia="en-IN"/>
              </w:rPr>
            </w:pPr>
            <w:r w:rsidRPr="007B65C1">
              <w:rPr>
                <w:rFonts w:ascii="Calibri" w:eastAsia="Times New Roman" w:hAnsi="Calibri" w:cs="Calibri"/>
                <w:b/>
                <w:bCs/>
                <w:color w:val="000000"/>
                <w:sz w:val="22"/>
                <w:szCs w:val="22"/>
                <w:lang w:val="en-IN" w:eastAsia="en-IN"/>
              </w:rPr>
              <w:t>3.51</w:t>
            </w:r>
          </w:p>
        </w:tc>
        <w:tc>
          <w:tcPr>
            <w:tcW w:w="1162" w:type="dxa"/>
            <w:tcBorders>
              <w:top w:val="nil"/>
              <w:left w:val="nil"/>
              <w:bottom w:val="nil"/>
              <w:right w:val="nil"/>
            </w:tcBorders>
            <w:shd w:val="clear" w:color="auto" w:fill="auto"/>
            <w:noWrap/>
            <w:vAlign w:val="bottom"/>
            <w:hideMark/>
          </w:tcPr>
          <w:p w14:paraId="75122444" w14:textId="77777777" w:rsidR="007B65C1" w:rsidRPr="007B65C1" w:rsidRDefault="007B65C1" w:rsidP="007B65C1">
            <w:pPr>
              <w:jc w:val="right"/>
              <w:rPr>
                <w:rFonts w:ascii="Calibri" w:eastAsia="Times New Roman" w:hAnsi="Calibri" w:cs="Calibri"/>
                <w:b/>
                <w:bCs/>
                <w:color w:val="000000"/>
                <w:sz w:val="22"/>
                <w:szCs w:val="22"/>
                <w:lang w:val="en-IN" w:eastAsia="en-IN"/>
              </w:rPr>
            </w:pPr>
          </w:p>
        </w:tc>
        <w:tc>
          <w:tcPr>
            <w:tcW w:w="1053" w:type="dxa"/>
            <w:tcBorders>
              <w:top w:val="nil"/>
              <w:left w:val="nil"/>
              <w:bottom w:val="nil"/>
              <w:right w:val="nil"/>
            </w:tcBorders>
            <w:shd w:val="clear" w:color="auto" w:fill="auto"/>
            <w:noWrap/>
            <w:vAlign w:val="bottom"/>
            <w:hideMark/>
          </w:tcPr>
          <w:p w14:paraId="540649B3"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073" w:type="dxa"/>
            <w:tcBorders>
              <w:top w:val="nil"/>
              <w:left w:val="nil"/>
              <w:bottom w:val="nil"/>
              <w:right w:val="nil"/>
            </w:tcBorders>
            <w:shd w:val="clear" w:color="auto" w:fill="auto"/>
            <w:noWrap/>
            <w:vAlign w:val="bottom"/>
            <w:hideMark/>
          </w:tcPr>
          <w:p w14:paraId="104641C1"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276" w:type="dxa"/>
            <w:tcBorders>
              <w:top w:val="nil"/>
              <w:left w:val="nil"/>
              <w:bottom w:val="nil"/>
              <w:right w:val="nil"/>
            </w:tcBorders>
            <w:shd w:val="clear" w:color="auto" w:fill="auto"/>
            <w:noWrap/>
            <w:vAlign w:val="bottom"/>
            <w:hideMark/>
          </w:tcPr>
          <w:p w14:paraId="725547E7"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053" w:type="dxa"/>
            <w:tcBorders>
              <w:top w:val="nil"/>
              <w:left w:val="nil"/>
              <w:bottom w:val="nil"/>
              <w:right w:val="nil"/>
            </w:tcBorders>
            <w:shd w:val="clear" w:color="auto" w:fill="auto"/>
            <w:noWrap/>
            <w:vAlign w:val="bottom"/>
            <w:hideMark/>
          </w:tcPr>
          <w:p w14:paraId="4CB44B00" w14:textId="77777777" w:rsidR="007B65C1" w:rsidRPr="007B65C1" w:rsidRDefault="007B65C1" w:rsidP="007B65C1">
            <w:pPr>
              <w:rPr>
                <w:rFonts w:ascii="Times New Roman" w:eastAsia="Times New Roman" w:hAnsi="Times New Roman" w:cs="Times New Roman"/>
                <w:sz w:val="20"/>
                <w:szCs w:val="20"/>
                <w:lang w:val="en-IN" w:eastAsia="en-IN"/>
              </w:rPr>
            </w:pPr>
          </w:p>
        </w:tc>
        <w:tc>
          <w:tcPr>
            <w:tcW w:w="1390" w:type="dxa"/>
            <w:tcBorders>
              <w:top w:val="nil"/>
              <w:left w:val="nil"/>
              <w:bottom w:val="nil"/>
              <w:right w:val="nil"/>
            </w:tcBorders>
            <w:shd w:val="clear" w:color="auto" w:fill="auto"/>
            <w:noWrap/>
            <w:vAlign w:val="bottom"/>
            <w:hideMark/>
          </w:tcPr>
          <w:p w14:paraId="3BAE1000" w14:textId="77777777" w:rsidR="007B65C1" w:rsidRPr="007B65C1" w:rsidRDefault="007B65C1" w:rsidP="007B65C1">
            <w:pPr>
              <w:rPr>
                <w:rFonts w:ascii="Times New Roman" w:eastAsia="Times New Roman" w:hAnsi="Times New Roman" w:cs="Times New Roman"/>
                <w:sz w:val="20"/>
                <w:szCs w:val="20"/>
                <w:lang w:val="en-IN" w:eastAsia="en-IN"/>
              </w:rPr>
            </w:pPr>
          </w:p>
        </w:tc>
      </w:tr>
    </w:tbl>
    <w:p w14:paraId="1D874539" w14:textId="470F51A3" w:rsidR="00DE6CD9" w:rsidRDefault="00DE6CD9" w:rsidP="00DE6CD9"/>
    <w:p w14:paraId="31BBBD0C" w14:textId="4FFE6365" w:rsidR="00DE6CD9" w:rsidRDefault="00C1390F" w:rsidP="00C1390F">
      <w:pPr>
        <w:jc w:val="center"/>
      </w:pPr>
      <w:r>
        <w:t>Source: Own Calculation</w:t>
      </w:r>
    </w:p>
    <w:p w14:paraId="38EB2751" w14:textId="747560AE" w:rsidR="00DE6CD9" w:rsidRPr="0051128F" w:rsidRDefault="00DE6CD9" w:rsidP="00DE6CD9">
      <w:pPr>
        <w:rPr>
          <w:rFonts w:ascii="Times New Roman" w:eastAsia="Times New Roman" w:hAnsi="Times New Roman" w:cs="Times New Roman"/>
          <w:color w:val="000000"/>
          <w:lang w:eastAsia="en-IN"/>
        </w:rPr>
      </w:pPr>
      <w:r w:rsidRPr="0051128F">
        <w:rPr>
          <w:rFonts w:ascii="Times New Roman" w:eastAsia="Times New Roman" w:hAnsi="Times New Roman" w:cs="Times New Roman"/>
          <w:color w:val="000000"/>
          <w:lang w:eastAsia="en-IN"/>
        </w:rPr>
        <w:t xml:space="preserve">The all-equity present value of the industry as at </w:t>
      </w:r>
      <w:r>
        <w:rPr>
          <w:rFonts w:ascii="Times New Roman" w:eastAsia="Times New Roman" w:hAnsi="Times New Roman" w:cs="Times New Roman"/>
          <w:color w:val="000000"/>
          <w:lang w:eastAsia="en-IN"/>
        </w:rPr>
        <w:t>2</w:t>
      </w:r>
      <w:r w:rsidR="007B65C1">
        <w:rPr>
          <w:rFonts w:ascii="Times New Roman" w:eastAsia="Times New Roman" w:hAnsi="Times New Roman" w:cs="Times New Roman"/>
          <w:color w:val="000000"/>
          <w:vertAlign w:val="superscript"/>
          <w:lang w:eastAsia="en-IN"/>
        </w:rPr>
        <w:t>nd</w:t>
      </w:r>
      <w:r>
        <w:rPr>
          <w:rFonts w:ascii="Times New Roman" w:eastAsia="Times New Roman" w:hAnsi="Times New Roman" w:cs="Times New Roman"/>
          <w:color w:val="000000"/>
          <w:lang w:eastAsia="en-IN"/>
        </w:rPr>
        <w:t xml:space="preserve"> </w:t>
      </w:r>
      <w:r w:rsidR="007B65C1">
        <w:rPr>
          <w:rFonts w:ascii="Times New Roman" w:eastAsia="Times New Roman" w:hAnsi="Times New Roman" w:cs="Times New Roman"/>
          <w:color w:val="000000"/>
          <w:lang w:eastAsia="en-IN"/>
        </w:rPr>
        <w:t>December</w:t>
      </w:r>
      <w:r>
        <w:rPr>
          <w:rFonts w:ascii="Times New Roman" w:eastAsia="Times New Roman" w:hAnsi="Times New Roman" w:cs="Times New Roman"/>
          <w:color w:val="000000"/>
          <w:lang w:eastAsia="en-IN"/>
        </w:rPr>
        <w:t xml:space="preserve"> 2022</w:t>
      </w:r>
      <w:r w:rsidRPr="0051128F">
        <w:rPr>
          <w:rFonts w:ascii="Times New Roman" w:eastAsia="Times New Roman" w:hAnsi="Times New Roman" w:cs="Times New Roman"/>
          <w:color w:val="000000"/>
          <w:lang w:eastAsia="en-IN"/>
        </w:rPr>
        <w:t xml:space="preserve"> is calculated as </w:t>
      </w:r>
      <w:r w:rsidRPr="00DE6CD9">
        <w:rPr>
          <w:rFonts w:ascii="Times New Roman" w:eastAsia="Times New Roman" w:hAnsi="Times New Roman" w:cs="Times New Roman"/>
          <w:b/>
          <w:bCs/>
          <w:color w:val="000000"/>
          <w:lang w:eastAsia="en-IN"/>
        </w:rPr>
        <w:t>$</w:t>
      </w:r>
      <w:r w:rsidR="007B65C1">
        <w:rPr>
          <w:rFonts w:ascii="Times New Roman" w:eastAsia="Times New Roman" w:hAnsi="Times New Roman" w:cs="Times New Roman"/>
          <w:b/>
          <w:bCs/>
          <w:color w:val="000000"/>
          <w:lang w:eastAsia="en-IN"/>
        </w:rPr>
        <w:t>952.7</w:t>
      </w:r>
      <w:r w:rsidR="00390B23">
        <w:rPr>
          <w:rFonts w:ascii="Times New Roman" w:eastAsia="Times New Roman" w:hAnsi="Times New Roman" w:cs="Times New Roman"/>
          <w:b/>
          <w:bCs/>
          <w:color w:val="000000"/>
          <w:lang w:eastAsia="en-IN"/>
        </w:rPr>
        <w:t xml:space="preserve">mn </w:t>
      </w:r>
      <w:r w:rsidRPr="00DE6CD9">
        <w:rPr>
          <w:rFonts w:ascii="Times New Roman" w:eastAsia="Times New Roman" w:hAnsi="Times New Roman" w:cs="Times New Roman"/>
          <w:b/>
          <w:bCs/>
          <w:color w:val="000000"/>
          <w:lang w:eastAsia="en-IN"/>
        </w:rPr>
        <w:t>USD</w:t>
      </w:r>
      <w:r>
        <w:rPr>
          <w:rFonts w:ascii="Times New Roman" w:eastAsia="Times New Roman" w:hAnsi="Times New Roman" w:cs="Times New Roman"/>
          <w:color w:val="000000"/>
          <w:lang w:eastAsia="en-IN"/>
        </w:rPr>
        <w:t>. T</w:t>
      </w:r>
      <w:r w:rsidRPr="0051128F">
        <w:rPr>
          <w:rFonts w:ascii="Times New Roman" w:eastAsia="Times New Roman" w:hAnsi="Times New Roman" w:cs="Times New Roman"/>
          <w:color w:val="000000"/>
          <w:lang w:eastAsia="en-IN"/>
        </w:rPr>
        <w:t xml:space="preserve">he value of the tax shield </w:t>
      </w:r>
      <w:r>
        <w:rPr>
          <w:rFonts w:ascii="Times New Roman" w:eastAsia="Times New Roman" w:hAnsi="Times New Roman" w:cs="Times New Roman"/>
          <w:color w:val="000000"/>
          <w:lang w:eastAsia="en-IN"/>
        </w:rPr>
        <w:t>is 0 as effective tax rate is 0%.</w:t>
      </w:r>
    </w:p>
    <w:p w14:paraId="30502173" w14:textId="77777777" w:rsidR="00DE6CD9" w:rsidRDefault="00DE6CD9" w:rsidP="00DE6CD9">
      <w:pPr>
        <w:rPr>
          <w:rFonts w:ascii="Times New Roman" w:eastAsia="Times New Roman" w:hAnsi="Times New Roman" w:cs="Times New Roman"/>
          <w:color w:val="000000"/>
          <w:lang w:eastAsia="en-IN"/>
        </w:rPr>
      </w:pPr>
    </w:p>
    <w:p w14:paraId="0D1FF626" w14:textId="5127DFE0" w:rsidR="00DE6CD9" w:rsidRPr="0051128F" w:rsidRDefault="00DE6CD9" w:rsidP="00DE6CD9">
      <w:pPr>
        <w:rPr>
          <w:rFonts w:ascii="Times New Roman" w:eastAsia="Times New Roman" w:hAnsi="Times New Roman" w:cs="Times New Roman"/>
          <w:b/>
          <w:bCs/>
          <w:color w:val="000000"/>
          <w:lang w:eastAsia="en-IN"/>
        </w:rPr>
      </w:pPr>
      <w:r w:rsidRPr="0051128F">
        <w:rPr>
          <w:rFonts w:ascii="Times New Roman" w:eastAsia="Times New Roman" w:hAnsi="Times New Roman" w:cs="Times New Roman"/>
          <w:color w:val="000000"/>
          <w:lang w:eastAsia="en-IN"/>
        </w:rPr>
        <w:t xml:space="preserve">The equity value of the firm is calculated as </w:t>
      </w:r>
      <w:r>
        <w:rPr>
          <w:rFonts w:ascii="Times New Roman" w:eastAsia="Times New Roman" w:hAnsi="Times New Roman" w:cs="Times New Roman"/>
          <w:b/>
          <w:bCs/>
          <w:color w:val="000000"/>
          <w:lang w:eastAsia="en-IN"/>
        </w:rPr>
        <w:t>$</w:t>
      </w:r>
      <w:r w:rsidR="007B65C1">
        <w:rPr>
          <w:rFonts w:ascii="Times New Roman" w:eastAsia="Times New Roman" w:hAnsi="Times New Roman" w:cs="Times New Roman"/>
          <w:b/>
          <w:bCs/>
          <w:color w:val="000000"/>
          <w:lang w:eastAsia="en-IN"/>
        </w:rPr>
        <w:t>327.7</w:t>
      </w:r>
      <w:r>
        <w:rPr>
          <w:rFonts w:ascii="Times New Roman" w:eastAsia="Times New Roman" w:hAnsi="Times New Roman" w:cs="Times New Roman"/>
          <w:b/>
          <w:bCs/>
          <w:color w:val="000000"/>
          <w:lang w:eastAsia="en-IN"/>
        </w:rPr>
        <w:t>mn</w:t>
      </w:r>
      <w:r w:rsidRPr="0051128F">
        <w:rPr>
          <w:rFonts w:ascii="Times New Roman" w:eastAsia="Times New Roman" w:hAnsi="Times New Roman" w:cs="Times New Roman"/>
          <w:b/>
          <w:bCs/>
          <w:color w:val="000000"/>
          <w:lang w:eastAsia="en-IN"/>
        </w:rPr>
        <w:t xml:space="preserve"> </w:t>
      </w:r>
      <w:r w:rsidRPr="0051128F">
        <w:rPr>
          <w:rFonts w:ascii="Times New Roman" w:eastAsia="Times New Roman" w:hAnsi="Times New Roman" w:cs="Times New Roman"/>
          <w:color w:val="000000"/>
          <w:lang w:eastAsia="en-IN"/>
        </w:rPr>
        <w:t>by subtracting the target debt amount from the enterprise value.</w:t>
      </w:r>
    </w:p>
    <w:p w14:paraId="1E32BA37" w14:textId="77777777" w:rsidR="00DE6CD9" w:rsidRDefault="00DE6CD9" w:rsidP="00DE6CD9">
      <w:pPr>
        <w:rPr>
          <w:rFonts w:ascii="Times New Roman" w:eastAsia="Times New Roman" w:hAnsi="Times New Roman" w:cs="Times New Roman"/>
          <w:color w:val="000000"/>
          <w:lang w:eastAsia="en-IN"/>
        </w:rPr>
      </w:pPr>
    </w:p>
    <w:p w14:paraId="1B1EA27B" w14:textId="560AE70D" w:rsidR="00DE6CD9" w:rsidRDefault="00DE6CD9" w:rsidP="00DE6CD9">
      <w:pPr>
        <w:rPr>
          <w:rFonts w:ascii="Times New Roman" w:eastAsia="Times New Roman" w:hAnsi="Times New Roman" w:cs="Times New Roman"/>
          <w:b/>
          <w:bCs/>
          <w:color w:val="000000"/>
          <w:lang w:eastAsia="en-IN"/>
        </w:rPr>
      </w:pPr>
      <w:r w:rsidRPr="0051128F">
        <w:rPr>
          <w:rFonts w:ascii="Times New Roman" w:eastAsia="Times New Roman" w:hAnsi="Times New Roman" w:cs="Times New Roman"/>
          <w:color w:val="000000"/>
          <w:lang w:eastAsia="en-IN"/>
        </w:rPr>
        <w:t xml:space="preserve">The market capitalization of the industry as of </w:t>
      </w:r>
      <w:r w:rsidR="007B65C1">
        <w:rPr>
          <w:rFonts w:ascii="Times New Roman" w:eastAsia="Times New Roman" w:hAnsi="Times New Roman" w:cs="Times New Roman"/>
          <w:color w:val="000000"/>
          <w:lang w:eastAsia="en-IN"/>
        </w:rPr>
        <w:t>2</w:t>
      </w:r>
      <w:r w:rsidR="007B65C1" w:rsidRPr="007B65C1">
        <w:rPr>
          <w:rFonts w:ascii="Times New Roman" w:eastAsia="Times New Roman" w:hAnsi="Times New Roman" w:cs="Times New Roman"/>
          <w:color w:val="000000"/>
          <w:vertAlign w:val="superscript"/>
          <w:lang w:eastAsia="en-IN"/>
        </w:rPr>
        <w:t>nd</w:t>
      </w:r>
      <w:r w:rsidR="007B65C1">
        <w:rPr>
          <w:rFonts w:ascii="Times New Roman" w:eastAsia="Times New Roman" w:hAnsi="Times New Roman" w:cs="Times New Roman"/>
          <w:color w:val="000000"/>
          <w:lang w:eastAsia="en-IN"/>
        </w:rPr>
        <w:t xml:space="preserve"> December</w:t>
      </w:r>
      <w:r>
        <w:rPr>
          <w:rFonts w:ascii="Times New Roman" w:eastAsia="Times New Roman" w:hAnsi="Times New Roman" w:cs="Times New Roman"/>
          <w:color w:val="000000"/>
          <w:lang w:eastAsia="en-IN"/>
        </w:rPr>
        <w:t xml:space="preserve"> 2022</w:t>
      </w:r>
      <w:r w:rsidRPr="0051128F">
        <w:rPr>
          <w:rFonts w:ascii="Times New Roman" w:eastAsia="Times New Roman" w:hAnsi="Times New Roman" w:cs="Times New Roman"/>
          <w:color w:val="000000"/>
          <w:lang w:eastAsia="en-IN"/>
        </w:rPr>
        <w:t xml:space="preserve"> (Bloomberg) is at</w:t>
      </w:r>
      <w:r w:rsidRPr="0051128F">
        <w:rPr>
          <w:rFonts w:ascii="Times New Roman" w:eastAsia="Times New Roman" w:hAnsi="Times New Roman" w:cs="Times New Roman"/>
          <w:b/>
          <w:bCs/>
          <w:color w:val="000000"/>
          <w:lang w:eastAsia="en-IN"/>
        </w:rPr>
        <w:t xml:space="preserve"> </w:t>
      </w:r>
      <w:r>
        <w:rPr>
          <w:rFonts w:ascii="Times New Roman" w:eastAsia="Times New Roman" w:hAnsi="Times New Roman" w:cs="Times New Roman"/>
          <w:b/>
          <w:bCs/>
          <w:color w:val="000000"/>
          <w:lang w:eastAsia="en-IN"/>
        </w:rPr>
        <w:t>$</w:t>
      </w:r>
      <w:r w:rsidR="007B65C1">
        <w:rPr>
          <w:rFonts w:ascii="Times New Roman" w:eastAsia="Times New Roman" w:hAnsi="Times New Roman" w:cs="Times New Roman"/>
          <w:b/>
          <w:bCs/>
          <w:color w:val="000000"/>
          <w:lang w:eastAsia="en-IN"/>
        </w:rPr>
        <w:t>346</w:t>
      </w:r>
      <w:r>
        <w:rPr>
          <w:rFonts w:ascii="Times New Roman" w:eastAsia="Times New Roman" w:hAnsi="Times New Roman" w:cs="Times New Roman"/>
          <w:b/>
          <w:bCs/>
          <w:color w:val="000000"/>
          <w:lang w:eastAsia="en-IN"/>
        </w:rPr>
        <w:t>.4mn</w:t>
      </w:r>
      <w:r w:rsidRPr="0051128F">
        <w:rPr>
          <w:rFonts w:ascii="Times New Roman" w:eastAsia="Times New Roman" w:hAnsi="Times New Roman" w:cs="Times New Roman"/>
          <w:b/>
          <w:bCs/>
          <w:color w:val="000000"/>
          <w:lang w:eastAsia="en-IN"/>
        </w:rPr>
        <w:t>.</w:t>
      </w:r>
    </w:p>
    <w:p w14:paraId="014BFBA4" w14:textId="77777777" w:rsidR="00DE6CD9" w:rsidRDefault="00DE6CD9" w:rsidP="00DE6CD9">
      <w:pPr>
        <w:rPr>
          <w:rFonts w:ascii="Times New Roman" w:eastAsia="Times New Roman" w:hAnsi="Times New Roman" w:cs="Times New Roman"/>
          <w:color w:val="000000"/>
          <w:lang w:eastAsia="en-IN"/>
        </w:rPr>
      </w:pPr>
    </w:p>
    <w:p w14:paraId="7EB66883" w14:textId="36D47615" w:rsidR="00390B23" w:rsidRDefault="00DE6CD9" w:rsidP="00DE6CD9">
      <w:pP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The actual price was $</w:t>
      </w:r>
      <w:r w:rsidR="007B65C1">
        <w:rPr>
          <w:rFonts w:ascii="Times New Roman" w:eastAsia="Times New Roman" w:hAnsi="Times New Roman" w:cs="Times New Roman"/>
          <w:b/>
          <w:bCs/>
          <w:color w:val="000000"/>
          <w:lang w:eastAsia="en-IN"/>
        </w:rPr>
        <w:t>3</w:t>
      </w:r>
      <w:r w:rsidR="00DF6CB2">
        <w:rPr>
          <w:rFonts w:ascii="Times New Roman" w:eastAsia="Times New Roman" w:hAnsi="Times New Roman" w:cs="Times New Roman"/>
          <w:b/>
          <w:bCs/>
          <w:color w:val="000000"/>
          <w:lang w:eastAsia="en-IN"/>
        </w:rPr>
        <w:t>.</w:t>
      </w:r>
      <w:r w:rsidR="007B65C1">
        <w:rPr>
          <w:rFonts w:ascii="Times New Roman" w:eastAsia="Times New Roman" w:hAnsi="Times New Roman" w:cs="Times New Roman"/>
          <w:b/>
          <w:bCs/>
          <w:color w:val="000000"/>
          <w:lang w:eastAsia="en-IN"/>
        </w:rPr>
        <w:t>51</w:t>
      </w:r>
      <w:r>
        <w:rPr>
          <w:rFonts w:ascii="Times New Roman" w:eastAsia="Times New Roman" w:hAnsi="Times New Roman" w:cs="Times New Roman"/>
          <w:color w:val="000000"/>
          <w:lang w:eastAsia="en-IN"/>
        </w:rPr>
        <w:t xml:space="preserve"> while we estimate it to be </w:t>
      </w:r>
      <w:r w:rsidRPr="00B21CF9">
        <w:rPr>
          <w:rFonts w:ascii="Times New Roman" w:eastAsia="Times New Roman" w:hAnsi="Times New Roman" w:cs="Times New Roman"/>
          <w:b/>
          <w:bCs/>
          <w:color w:val="000000"/>
          <w:lang w:eastAsia="en-IN"/>
        </w:rPr>
        <w:t>$</w:t>
      </w:r>
      <w:r>
        <w:rPr>
          <w:rFonts w:ascii="Times New Roman" w:eastAsia="Times New Roman" w:hAnsi="Times New Roman" w:cs="Times New Roman"/>
          <w:b/>
          <w:bCs/>
          <w:color w:val="000000"/>
          <w:lang w:eastAsia="en-IN"/>
        </w:rPr>
        <w:t>3</w:t>
      </w:r>
      <w:r w:rsidR="007B65C1">
        <w:rPr>
          <w:rFonts w:ascii="Times New Roman" w:eastAsia="Times New Roman" w:hAnsi="Times New Roman" w:cs="Times New Roman"/>
          <w:b/>
          <w:bCs/>
          <w:color w:val="000000"/>
          <w:lang w:eastAsia="en-IN"/>
        </w:rPr>
        <w:t>.32</w:t>
      </w:r>
      <w:r>
        <w:rPr>
          <w:rFonts w:ascii="Times New Roman" w:eastAsia="Times New Roman" w:hAnsi="Times New Roman" w:cs="Times New Roman"/>
          <w:color w:val="000000"/>
          <w:lang w:eastAsia="en-IN"/>
        </w:rPr>
        <w:t xml:space="preserve"> This is below price by </w:t>
      </w:r>
      <w:r w:rsidR="007B65C1">
        <w:rPr>
          <w:rFonts w:ascii="Times New Roman" w:eastAsia="Times New Roman" w:hAnsi="Times New Roman" w:cs="Times New Roman"/>
          <w:color w:val="000000"/>
          <w:lang w:eastAsia="en-IN"/>
        </w:rPr>
        <w:t>5.39</w:t>
      </w:r>
      <w:r>
        <w:rPr>
          <w:rFonts w:ascii="Times New Roman" w:eastAsia="Times New Roman" w:hAnsi="Times New Roman" w:cs="Times New Roman"/>
          <w:color w:val="000000"/>
          <w:lang w:eastAsia="en-IN"/>
        </w:rPr>
        <w:t>%</w:t>
      </w:r>
      <w:r w:rsidR="00390B23">
        <w:rPr>
          <w:rFonts w:ascii="Times New Roman" w:eastAsia="Times New Roman" w:hAnsi="Times New Roman" w:cs="Times New Roman"/>
          <w:color w:val="000000"/>
          <w:lang w:eastAsia="en-IN"/>
        </w:rPr>
        <w:t xml:space="preserve">. However, given the close proximity to market prices, our recommendation is a mixed one. </w:t>
      </w:r>
    </w:p>
    <w:p w14:paraId="705D1B9D" w14:textId="77777777" w:rsidR="00DE6CD9" w:rsidRPr="0051128F" w:rsidRDefault="00DE6CD9" w:rsidP="00DE6CD9">
      <w:pPr>
        <w:rPr>
          <w:rFonts w:ascii="Times New Roman" w:eastAsia="Times New Roman" w:hAnsi="Times New Roman" w:cs="Times New Roman"/>
          <w:color w:val="000000"/>
          <w:lang w:eastAsia="en-IN"/>
        </w:rPr>
      </w:pPr>
    </w:p>
    <w:p w14:paraId="4396E4BF" w14:textId="06D45C45" w:rsidR="00DE6CD9" w:rsidRPr="00DE6CD9" w:rsidRDefault="00DE6CD9" w:rsidP="00DE6CD9">
      <w:pPr>
        <w:rPr>
          <w:b/>
          <w:bCs/>
        </w:rPr>
      </w:pPr>
    </w:p>
    <w:p w14:paraId="428D7C2E" w14:textId="0BA1A0E8" w:rsidR="00DE6CD9" w:rsidRDefault="00DE6CD9" w:rsidP="00CB519F">
      <w:pPr>
        <w:jc w:val="center"/>
        <w:rPr>
          <w:b/>
          <w:bCs/>
        </w:rPr>
      </w:pPr>
      <w:r w:rsidRPr="00DE6CD9">
        <w:rPr>
          <w:b/>
          <w:bCs/>
        </w:rPr>
        <w:t xml:space="preserve">Recommendation: </w:t>
      </w:r>
      <w:r w:rsidR="00FB1BA6">
        <w:rPr>
          <w:b/>
          <w:bCs/>
        </w:rPr>
        <w:t>HOLD/</w:t>
      </w:r>
      <w:r w:rsidRPr="00DE6CD9">
        <w:rPr>
          <w:b/>
          <w:bCs/>
        </w:rPr>
        <w:t>SELL</w:t>
      </w:r>
    </w:p>
    <w:p w14:paraId="52A69775" w14:textId="5C0D3FAA" w:rsidR="000B792A" w:rsidRDefault="000B792A">
      <w:pPr>
        <w:rPr>
          <w:b/>
          <w:bCs/>
        </w:rPr>
      </w:pPr>
      <w:r>
        <w:rPr>
          <w:b/>
          <w:bCs/>
        </w:rPr>
        <w:br w:type="page"/>
      </w:r>
    </w:p>
    <w:p w14:paraId="035046A3" w14:textId="52E251EA" w:rsidR="000B792A" w:rsidRDefault="000B792A" w:rsidP="000B792A">
      <w:pPr>
        <w:pStyle w:val="Heading1"/>
      </w:pPr>
      <w:r>
        <w:lastRenderedPageBreak/>
        <w:t>Important Disclaimer</w:t>
      </w:r>
    </w:p>
    <w:p w14:paraId="4F6D5A8B" w14:textId="31376CD9" w:rsidR="000B792A" w:rsidRDefault="000B792A" w:rsidP="000B792A"/>
    <w:p w14:paraId="6BBA157E" w14:textId="77777777" w:rsidR="000B792A" w:rsidRPr="00390B23" w:rsidRDefault="000B792A" w:rsidP="000B792A">
      <w:pPr>
        <w:rPr>
          <w:color w:val="FF0000"/>
        </w:rPr>
      </w:pPr>
      <w:r w:rsidRPr="00390B23">
        <w:rPr>
          <w:color w:val="FF0000"/>
        </w:rPr>
        <w:t xml:space="preserve">Please read this statement before reading this report. </w:t>
      </w:r>
    </w:p>
    <w:p w14:paraId="5332DDB5" w14:textId="77777777" w:rsidR="000B792A" w:rsidRPr="00390B23" w:rsidRDefault="000B792A" w:rsidP="000B792A">
      <w:pPr>
        <w:rPr>
          <w:color w:val="FF0000"/>
        </w:rPr>
      </w:pPr>
    </w:p>
    <w:p w14:paraId="0BC379FE" w14:textId="77777777" w:rsidR="000B792A" w:rsidRPr="00390B23" w:rsidRDefault="000B792A" w:rsidP="000B792A">
      <w:pPr>
        <w:rPr>
          <w:color w:val="FF0000"/>
        </w:rPr>
      </w:pPr>
      <w:r w:rsidRPr="00390B23">
        <w:rPr>
          <w:color w:val="FF0000"/>
        </w:rPr>
        <w:t xml:space="preserve">This report has been written by students at UCD Michael Smurfit Business School in partial fulfilment of their course requirements at Yale School of Management. The report is a student and not a professional report. It is intended solely to serve as an example of student work at UCD Michael Smurfit Business School. It is not intended as investment advice. It is based on publicly available information and may not be complete analyses of all relevant data. If you use this report for any purpose, you do so at your own risk. </w:t>
      </w:r>
    </w:p>
    <w:p w14:paraId="594D1011" w14:textId="77777777" w:rsidR="000B792A" w:rsidRPr="00390B23" w:rsidRDefault="000B792A" w:rsidP="000B792A">
      <w:pPr>
        <w:rPr>
          <w:color w:val="FF0000"/>
        </w:rPr>
      </w:pPr>
    </w:p>
    <w:p w14:paraId="36579F51" w14:textId="5550B14C" w:rsidR="000B792A" w:rsidRDefault="000B792A" w:rsidP="000B792A">
      <w:pPr>
        <w:rPr>
          <w:color w:val="FF0000"/>
        </w:rPr>
      </w:pPr>
      <w:r w:rsidRPr="00390B23">
        <w:rPr>
          <w:color w:val="FF0000"/>
        </w:rPr>
        <w:t>UCD MICHAEL SMURFIT BUSINESS SCHOOL, YALE UNIVERSITY, YALE SCHOOL OF MANAGEMENT, AND YALE UNIVERSITY’S OFFICERS, FELLOWS, FACULTY, STAFF, AND STUDENTS MAKE NO REPRESENTATIONS OR WARRANTIES, EXPRESS OR IMPLIED, ABOUT THE ACCURACY OR SUITABILITY FOR ANY USE OF THESE REPORTS, AND EXPRESSLY DISCLAIM RESPONSIBILITY FOR ANY LOSS OR DAMAGE, DIRECT OR INDIRECT, CAUSED BY USE OF OR RELIANCE ON THESE REPORTS.</w:t>
      </w:r>
    </w:p>
    <w:p w14:paraId="13AE8FEC" w14:textId="2AD40603" w:rsidR="00C068EE" w:rsidRDefault="00C068EE" w:rsidP="000B792A">
      <w:pPr>
        <w:rPr>
          <w:color w:val="FF0000"/>
        </w:rPr>
      </w:pPr>
    </w:p>
    <w:p w14:paraId="22F75A30" w14:textId="064BA6A7" w:rsidR="00C068EE" w:rsidRDefault="00C068EE" w:rsidP="000B792A">
      <w:pPr>
        <w:rPr>
          <w:color w:val="FF0000"/>
        </w:rPr>
      </w:pPr>
    </w:p>
    <w:p w14:paraId="1F450586" w14:textId="0E0D4F1E" w:rsidR="00C068EE" w:rsidRDefault="00C068EE" w:rsidP="00C068EE">
      <w:pPr>
        <w:pStyle w:val="Heading1"/>
      </w:pPr>
      <w:r>
        <w:t>References</w:t>
      </w:r>
    </w:p>
    <w:p w14:paraId="2FA0D9E9" w14:textId="48D49955" w:rsidR="00C068EE" w:rsidRDefault="00C068EE" w:rsidP="00C068EE"/>
    <w:p w14:paraId="1F0B3BFB" w14:textId="5F668FF0" w:rsidR="00C068EE" w:rsidRDefault="00C068EE" w:rsidP="00C068EE">
      <w:pPr>
        <w:pStyle w:val="ListParagraph"/>
        <w:numPr>
          <w:ilvl w:val="0"/>
          <w:numId w:val="2"/>
        </w:numPr>
      </w:pPr>
      <w:hyperlink r:id="rId37" w:history="1">
        <w:r w:rsidRPr="005116AA">
          <w:rPr>
            <w:rStyle w:val="Hyperlink"/>
          </w:rPr>
          <w:t>https://www.dianashippinginc.com/wp-content/uploads/2022/11/diana-shipping-inc.-corporate-presentation-171122.pdf</w:t>
        </w:r>
      </w:hyperlink>
    </w:p>
    <w:p w14:paraId="3AE39CE5" w14:textId="2D51CFCC" w:rsidR="00C068EE" w:rsidRDefault="00C068EE" w:rsidP="00C068EE"/>
    <w:p w14:paraId="369D8D91" w14:textId="7ACFF06B" w:rsidR="00C068EE" w:rsidRDefault="00C068EE" w:rsidP="00C068EE">
      <w:pPr>
        <w:pStyle w:val="ListParagraph"/>
        <w:numPr>
          <w:ilvl w:val="0"/>
          <w:numId w:val="2"/>
        </w:numPr>
      </w:pPr>
      <w:hyperlink r:id="rId38" w:history="1">
        <w:r w:rsidRPr="005116AA">
          <w:rPr>
            <w:rStyle w:val="Hyperlink"/>
          </w:rPr>
          <w:t>https://ir.eagleships.com/static-files/d3fb5d2c-966d-47e4-b6d3-571fe4087569</w:t>
        </w:r>
      </w:hyperlink>
    </w:p>
    <w:p w14:paraId="16472F7C" w14:textId="77777777" w:rsidR="00C068EE" w:rsidRDefault="00C068EE" w:rsidP="00C068EE">
      <w:pPr>
        <w:pStyle w:val="ListParagraph"/>
      </w:pPr>
    </w:p>
    <w:p w14:paraId="06806039" w14:textId="306BD181" w:rsidR="00C068EE" w:rsidRDefault="00C068EE" w:rsidP="00C068EE">
      <w:pPr>
        <w:pStyle w:val="ListParagraph"/>
        <w:numPr>
          <w:ilvl w:val="0"/>
          <w:numId w:val="2"/>
        </w:numPr>
      </w:pPr>
      <w:hyperlink r:id="rId39" w:history="1">
        <w:r w:rsidRPr="005116AA">
          <w:rPr>
            <w:rStyle w:val="Hyperlink"/>
          </w:rPr>
          <w:t>https://www.cnbc.com/us-treasurys/</w:t>
        </w:r>
      </w:hyperlink>
    </w:p>
    <w:p w14:paraId="33511A48" w14:textId="77777777" w:rsidR="00C068EE" w:rsidRDefault="00C068EE" w:rsidP="00C068EE">
      <w:pPr>
        <w:pStyle w:val="ListParagraph"/>
      </w:pPr>
    </w:p>
    <w:p w14:paraId="0711FC7F" w14:textId="7FCB19EF" w:rsidR="00C068EE" w:rsidRDefault="00C068EE" w:rsidP="00C068EE">
      <w:pPr>
        <w:pStyle w:val="ListParagraph"/>
        <w:numPr>
          <w:ilvl w:val="0"/>
          <w:numId w:val="2"/>
        </w:numPr>
      </w:pPr>
      <w:hyperlink r:id="rId40" w:history="1">
        <w:r w:rsidRPr="005116AA">
          <w:rPr>
            <w:rStyle w:val="Hyperlink"/>
          </w:rPr>
          <w:t>https://www.balticexchange.com/en/data-services/freight-derivatives-/Baltic-Forward-Assessments.html</w:t>
        </w:r>
      </w:hyperlink>
    </w:p>
    <w:p w14:paraId="2DAEDFCF" w14:textId="77777777" w:rsidR="00C068EE" w:rsidRDefault="00C068EE" w:rsidP="00C068EE">
      <w:pPr>
        <w:pStyle w:val="ListParagraph"/>
      </w:pPr>
    </w:p>
    <w:p w14:paraId="7C6600A5" w14:textId="033A6538" w:rsidR="00C068EE" w:rsidRDefault="00C068EE" w:rsidP="00C068EE">
      <w:pPr>
        <w:pStyle w:val="ListParagraph"/>
        <w:numPr>
          <w:ilvl w:val="0"/>
          <w:numId w:val="2"/>
        </w:numPr>
      </w:pPr>
      <w:hyperlink r:id="rId41" w:history="1">
        <w:r w:rsidRPr="005116AA">
          <w:rPr>
            <w:rStyle w:val="Hyperlink"/>
          </w:rPr>
          <w:t>https://preview.thenewsmarket.com/Previews/PWC/DocumentAssets/462085.pdf</w:t>
        </w:r>
      </w:hyperlink>
    </w:p>
    <w:p w14:paraId="7249DA33" w14:textId="77777777" w:rsidR="00C068EE" w:rsidRDefault="00C068EE" w:rsidP="00C068EE">
      <w:pPr>
        <w:pStyle w:val="ListParagraph"/>
      </w:pPr>
    </w:p>
    <w:p w14:paraId="4AD2FDB0" w14:textId="7DDA9EB3" w:rsidR="00C068EE" w:rsidRDefault="00C068EE" w:rsidP="00C068EE">
      <w:pPr>
        <w:pStyle w:val="ListParagraph"/>
        <w:numPr>
          <w:ilvl w:val="0"/>
          <w:numId w:val="2"/>
        </w:numPr>
      </w:pPr>
      <w:hyperlink r:id="rId42" w:history="1">
        <w:r w:rsidRPr="005116AA">
          <w:rPr>
            <w:rStyle w:val="Hyperlink"/>
          </w:rPr>
          <w:t>https://www.bloomberg.com/europe</w:t>
        </w:r>
      </w:hyperlink>
    </w:p>
    <w:p w14:paraId="4707413F" w14:textId="77777777" w:rsidR="00C068EE" w:rsidRDefault="00C068EE" w:rsidP="00C068EE">
      <w:pPr>
        <w:pStyle w:val="ListParagraph"/>
      </w:pPr>
    </w:p>
    <w:p w14:paraId="39B8810B" w14:textId="238FF7ED" w:rsidR="00C068EE" w:rsidRDefault="00C068EE" w:rsidP="00C068EE">
      <w:pPr>
        <w:pStyle w:val="ListParagraph"/>
        <w:numPr>
          <w:ilvl w:val="0"/>
          <w:numId w:val="2"/>
        </w:numPr>
      </w:pPr>
      <w:hyperlink r:id="rId43" w:history="1">
        <w:r w:rsidRPr="005116AA">
          <w:rPr>
            <w:rStyle w:val="Hyperlink"/>
          </w:rPr>
          <w:t>https://emea1-apps.platform.refinitiv.com/web/Apps/Corp?s=DSX&amp;st=RIC&amp;app=true</w:t>
        </w:r>
      </w:hyperlink>
    </w:p>
    <w:p w14:paraId="6526FFD5" w14:textId="77777777" w:rsidR="00C068EE" w:rsidRDefault="00C068EE" w:rsidP="00C068EE">
      <w:pPr>
        <w:pStyle w:val="ListParagraph"/>
      </w:pPr>
    </w:p>
    <w:p w14:paraId="75F4046E" w14:textId="14836355" w:rsidR="00C068EE" w:rsidRDefault="0018046C" w:rsidP="00C068EE">
      <w:pPr>
        <w:pStyle w:val="ListParagraph"/>
        <w:numPr>
          <w:ilvl w:val="0"/>
          <w:numId w:val="2"/>
        </w:numPr>
      </w:pPr>
      <w:hyperlink r:id="rId44" w:history="1">
        <w:r w:rsidRPr="005116AA">
          <w:rPr>
            <w:rStyle w:val="Hyperlink"/>
          </w:rPr>
          <w:t>https://markets.ft.com/data/funds/tearsheet/historical?s=WFIVX</w:t>
        </w:r>
      </w:hyperlink>
    </w:p>
    <w:p w14:paraId="0F867106" w14:textId="77777777" w:rsidR="0018046C" w:rsidRDefault="0018046C" w:rsidP="0018046C">
      <w:pPr>
        <w:pStyle w:val="ListParagraph"/>
      </w:pPr>
    </w:p>
    <w:p w14:paraId="13ADF2FC" w14:textId="77777777" w:rsidR="0018046C" w:rsidRPr="00C068EE" w:rsidRDefault="0018046C" w:rsidP="0018046C">
      <w:pPr>
        <w:pStyle w:val="ListParagraph"/>
      </w:pPr>
    </w:p>
    <w:sectPr w:rsidR="0018046C" w:rsidRPr="00C068EE" w:rsidSect="00404BA8">
      <w:footerReference w:type="default" r:id="rId45"/>
      <w:pgSz w:w="11900" w:h="16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A53AD" w14:textId="77777777" w:rsidR="002527AD" w:rsidRDefault="002527AD" w:rsidP="003B7F26">
      <w:r>
        <w:separator/>
      </w:r>
    </w:p>
  </w:endnote>
  <w:endnote w:type="continuationSeparator" w:id="0">
    <w:p w14:paraId="079D54F6" w14:textId="77777777" w:rsidR="002527AD" w:rsidRDefault="002527AD" w:rsidP="003B7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FD960" w14:textId="77777777" w:rsidR="000B792A" w:rsidRDefault="000B792A">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8EF44CB" w14:textId="77777777" w:rsidR="000B792A" w:rsidRDefault="000B7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D3C00" w14:textId="77777777" w:rsidR="002527AD" w:rsidRDefault="002527AD" w:rsidP="003B7F26">
      <w:r>
        <w:separator/>
      </w:r>
    </w:p>
  </w:footnote>
  <w:footnote w:type="continuationSeparator" w:id="0">
    <w:p w14:paraId="6A2C6488" w14:textId="77777777" w:rsidR="002527AD" w:rsidRDefault="002527AD" w:rsidP="003B7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D729D"/>
    <w:multiLevelType w:val="hybridMultilevel"/>
    <w:tmpl w:val="994205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FD0BB7"/>
    <w:multiLevelType w:val="hybridMultilevel"/>
    <w:tmpl w:val="3F981208"/>
    <w:lvl w:ilvl="0" w:tplc="19A2E15C">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1501234082">
    <w:abstractNumId w:val="1"/>
  </w:num>
  <w:num w:numId="2" w16cid:durableId="535046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FB2"/>
    <w:rsid w:val="00021AF0"/>
    <w:rsid w:val="00057FA2"/>
    <w:rsid w:val="00066967"/>
    <w:rsid w:val="0008153C"/>
    <w:rsid w:val="000A0B7B"/>
    <w:rsid w:val="000A3F3F"/>
    <w:rsid w:val="000B792A"/>
    <w:rsid w:val="000C42EA"/>
    <w:rsid w:val="000D5919"/>
    <w:rsid w:val="000E0EEF"/>
    <w:rsid w:val="000E54D6"/>
    <w:rsid w:val="000E6F22"/>
    <w:rsid w:val="00104211"/>
    <w:rsid w:val="0014017D"/>
    <w:rsid w:val="0016230C"/>
    <w:rsid w:val="0017188D"/>
    <w:rsid w:val="0018046C"/>
    <w:rsid w:val="0019749D"/>
    <w:rsid w:val="001C02C6"/>
    <w:rsid w:val="00206191"/>
    <w:rsid w:val="00231ED1"/>
    <w:rsid w:val="002527AD"/>
    <w:rsid w:val="0029147B"/>
    <w:rsid w:val="002B6ABA"/>
    <w:rsid w:val="002C2274"/>
    <w:rsid w:val="002F1389"/>
    <w:rsid w:val="003021CE"/>
    <w:rsid w:val="00325EE3"/>
    <w:rsid w:val="00375C42"/>
    <w:rsid w:val="003858F9"/>
    <w:rsid w:val="00390B23"/>
    <w:rsid w:val="00392FF3"/>
    <w:rsid w:val="003B0593"/>
    <w:rsid w:val="003B48CB"/>
    <w:rsid w:val="003B7F26"/>
    <w:rsid w:val="003D7C47"/>
    <w:rsid w:val="00400507"/>
    <w:rsid w:val="00404BA8"/>
    <w:rsid w:val="0043455D"/>
    <w:rsid w:val="00450C7C"/>
    <w:rsid w:val="0048418E"/>
    <w:rsid w:val="004D0DDA"/>
    <w:rsid w:val="004E249B"/>
    <w:rsid w:val="0057293C"/>
    <w:rsid w:val="00577441"/>
    <w:rsid w:val="005E4B08"/>
    <w:rsid w:val="005E7521"/>
    <w:rsid w:val="005F0061"/>
    <w:rsid w:val="005F2CCD"/>
    <w:rsid w:val="00667B3A"/>
    <w:rsid w:val="00674179"/>
    <w:rsid w:val="00693078"/>
    <w:rsid w:val="0069377C"/>
    <w:rsid w:val="006A3474"/>
    <w:rsid w:val="006C6A7E"/>
    <w:rsid w:val="006E135E"/>
    <w:rsid w:val="00766BED"/>
    <w:rsid w:val="00782A26"/>
    <w:rsid w:val="007B5729"/>
    <w:rsid w:val="007B65C1"/>
    <w:rsid w:val="007C2F4A"/>
    <w:rsid w:val="007D33B9"/>
    <w:rsid w:val="007F3429"/>
    <w:rsid w:val="00802F1B"/>
    <w:rsid w:val="0080798B"/>
    <w:rsid w:val="008201F0"/>
    <w:rsid w:val="00985781"/>
    <w:rsid w:val="009F6B09"/>
    <w:rsid w:val="00A21456"/>
    <w:rsid w:val="00A47FB2"/>
    <w:rsid w:val="00AF275C"/>
    <w:rsid w:val="00B02976"/>
    <w:rsid w:val="00B12A9D"/>
    <w:rsid w:val="00B34627"/>
    <w:rsid w:val="00B6692C"/>
    <w:rsid w:val="00B75805"/>
    <w:rsid w:val="00B76B50"/>
    <w:rsid w:val="00BF1F67"/>
    <w:rsid w:val="00C068EE"/>
    <w:rsid w:val="00C1390F"/>
    <w:rsid w:val="00C659A8"/>
    <w:rsid w:val="00C774DA"/>
    <w:rsid w:val="00CB519F"/>
    <w:rsid w:val="00CF20BB"/>
    <w:rsid w:val="00D602E7"/>
    <w:rsid w:val="00D61AD0"/>
    <w:rsid w:val="00D9584B"/>
    <w:rsid w:val="00DE3C8E"/>
    <w:rsid w:val="00DE5D60"/>
    <w:rsid w:val="00DE6CD9"/>
    <w:rsid w:val="00DF6CB2"/>
    <w:rsid w:val="00E050E3"/>
    <w:rsid w:val="00E07080"/>
    <w:rsid w:val="00E111CD"/>
    <w:rsid w:val="00E16839"/>
    <w:rsid w:val="00E470DF"/>
    <w:rsid w:val="00E5044D"/>
    <w:rsid w:val="00E65202"/>
    <w:rsid w:val="00E73CCE"/>
    <w:rsid w:val="00EA0493"/>
    <w:rsid w:val="00EA173C"/>
    <w:rsid w:val="00EA7543"/>
    <w:rsid w:val="00FB1BA6"/>
    <w:rsid w:val="00FF5FD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16B5"/>
  <w15:chartTrackingRefBased/>
  <w15:docId w15:val="{F8463B33-3476-A340-AB32-0360160C3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5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858F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25EE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F26"/>
    <w:pPr>
      <w:tabs>
        <w:tab w:val="center" w:pos="4680"/>
        <w:tab w:val="right" w:pos="9360"/>
      </w:tabs>
    </w:pPr>
  </w:style>
  <w:style w:type="character" w:customStyle="1" w:styleId="HeaderChar">
    <w:name w:val="Header Char"/>
    <w:basedOn w:val="DefaultParagraphFont"/>
    <w:link w:val="Header"/>
    <w:uiPriority w:val="99"/>
    <w:rsid w:val="003B7F26"/>
  </w:style>
  <w:style w:type="paragraph" w:styleId="Footer">
    <w:name w:val="footer"/>
    <w:basedOn w:val="Normal"/>
    <w:link w:val="FooterChar"/>
    <w:uiPriority w:val="99"/>
    <w:unhideWhenUsed/>
    <w:rsid w:val="003B7F26"/>
    <w:pPr>
      <w:tabs>
        <w:tab w:val="center" w:pos="4680"/>
        <w:tab w:val="right" w:pos="9360"/>
      </w:tabs>
    </w:pPr>
  </w:style>
  <w:style w:type="character" w:customStyle="1" w:styleId="FooterChar">
    <w:name w:val="Footer Char"/>
    <w:basedOn w:val="DefaultParagraphFont"/>
    <w:link w:val="Footer"/>
    <w:uiPriority w:val="99"/>
    <w:rsid w:val="003B7F26"/>
  </w:style>
  <w:style w:type="character" w:customStyle="1" w:styleId="apple-converted-space">
    <w:name w:val="apple-converted-space"/>
    <w:basedOn w:val="DefaultParagraphFont"/>
    <w:rsid w:val="00B34627"/>
  </w:style>
  <w:style w:type="character" w:customStyle="1" w:styleId="Heading1Char">
    <w:name w:val="Heading 1 Char"/>
    <w:basedOn w:val="DefaultParagraphFont"/>
    <w:link w:val="Heading1"/>
    <w:uiPriority w:val="9"/>
    <w:rsid w:val="003858F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858F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25EE3"/>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5F2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20BB"/>
    <w:pPr>
      <w:ind w:left="720"/>
      <w:contextualSpacing/>
    </w:pPr>
  </w:style>
  <w:style w:type="character" w:styleId="Hyperlink">
    <w:name w:val="Hyperlink"/>
    <w:basedOn w:val="DefaultParagraphFont"/>
    <w:uiPriority w:val="99"/>
    <w:unhideWhenUsed/>
    <w:rsid w:val="00CF20BB"/>
    <w:rPr>
      <w:color w:val="0563C1" w:themeColor="hyperlink"/>
      <w:u w:val="single"/>
    </w:rPr>
  </w:style>
  <w:style w:type="paragraph" w:styleId="TOCHeading">
    <w:name w:val="TOC Heading"/>
    <w:basedOn w:val="Heading1"/>
    <w:next w:val="Normal"/>
    <w:uiPriority w:val="39"/>
    <w:unhideWhenUsed/>
    <w:qFormat/>
    <w:rsid w:val="003B0593"/>
    <w:pPr>
      <w:spacing w:line="259" w:lineRule="auto"/>
      <w:outlineLvl w:val="9"/>
    </w:pPr>
    <w:rPr>
      <w:lang w:val="en-US"/>
    </w:rPr>
  </w:style>
  <w:style w:type="paragraph" w:styleId="TOC1">
    <w:name w:val="toc 1"/>
    <w:basedOn w:val="Normal"/>
    <w:next w:val="Normal"/>
    <w:autoRedefine/>
    <w:uiPriority w:val="39"/>
    <w:unhideWhenUsed/>
    <w:rsid w:val="003B0593"/>
    <w:pPr>
      <w:spacing w:after="100"/>
    </w:pPr>
  </w:style>
  <w:style w:type="paragraph" w:styleId="TOC2">
    <w:name w:val="toc 2"/>
    <w:basedOn w:val="Normal"/>
    <w:next w:val="Normal"/>
    <w:autoRedefine/>
    <w:uiPriority w:val="39"/>
    <w:unhideWhenUsed/>
    <w:rsid w:val="003B0593"/>
    <w:pPr>
      <w:spacing w:after="100"/>
      <w:ind w:left="240"/>
    </w:pPr>
  </w:style>
  <w:style w:type="paragraph" w:styleId="TOC3">
    <w:name w:val="toc 3"/>
    <w:basedOn w:val="Normal"/>
    <w:next w:val="Normal"/>
    <w:autoRedefine/>
    <w:uiPriority w:val="39"/>
    <w:unhideWhenUsed/>
    <w:rsid w:val="003B0593"/>
    <w:pPr>
      <w:spacing w:after="100"/>
      <w:ind w:left="480"/>
    </w:pPr>
  </w:style>
  <w:style w:type="character" w:styleId="PageNumber">
    <w:name w:val="page number"/>
    <w:basedOn w:val="DefaultParagraphFont"/>
    <w:uiPriority w:val="99"/>
    <w:semiHidden/>
    <w:unhideWhenUsed/>
    <w:rsid w:val="00404BA8"/>
  </w:style>
  <w:style w:type="character" w:styleId="UnresolvedMention">
    <w:name w:val="Unresolved Mention"/>
    <w:basedOn w:val="DefaultParagraphFont"/>
    <w:uiPriority w:val="99"/>
    <w:semiHidden/>
    <w:unhideWhenUsed/>
    <w:rsid w:val="00C06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9192">
      <w:bodyDiv w:val="1"/>
      <w:marLeft w:val="0"/>
      <w:marRight w:val="0"/>
      <w:marTop w:val="0"/>
      <w:marBottom w:val="0"/>
      <w:divBdr>
        <w:top w:val="none" w:sz="0" w:space="0" w:color="auto"/>
        <w:left w:val="none" w:sz="0" w:space="0" w:color="auto"/>
        <w:bottom w:val="none" w:sz="0" w:space="0" w:color="auto"/>
        <w:right w:val="none" w:sz="0" w:space="0" w:color="auto"/>
      </w:divBdr>
    </w:div>
    <w:div w:id="360711429">
      <w:bodyDiv w:val="1"/>
      <w:marLeft w:val="0"/>
      <w:marRight w:val="0"/>
      <w:marTop w:val="0"/>
      <w:marBottom w:val="0"/>
      <w:divBdr>
        <w:top w:val="none" w:sz="0" w:space="0" w:color="auto"/>
        <w:left w:val="none" w:sz="0" w:space="0" w:color="auto"/>
        <w:bottom w:val="none" w:sz="0" w:space="0" w:color="auto"/>
        <w:right w:val="none" w:sz="0" w:space="0" w:color="auto"/>
      </w:divBdr>
    </w:div>
    <w:div w:id="787701032">
      <w:bodyDiv w:val="1"/>
      <w:marLeft w:val="0"/>
      <w:marRight w:val="0"/>
      <w:marTop w:val="0"/>
      <w:marBottom w:val="0"/>
      <w:divBdr>
        <w:top w:val="none" w:sz="0" w:space="0" w:color="auto"/>
        <w:left w:val="none" w:sz="0" w:space="0" w:color="auto"/>
        <w:bottom w:val="none" w:sz="0" w:space="0" w:color="auto"/>
        <w:right w:val="none" w:sz="0" w:space="0" w:color="auto"/>
      </w:divBdr>
    </w:div>
    <w:div w:id="1301613171">
      <w:bodyDiv w:val="1"/>
      <w:marLeft w:val="0"/>
      <w:marRight w:val="0"/>
      <w:marTop w:val="0"/>
      <w:marBottom w:val="0"/>
      <w:divBdr>
        <w:top w:val="none" w:sz="0" w:space="0" w:color="auto"/>
        <w:left w:val="none" w:sz="0" w:space="0" w:color="auto"/>
        <w:bottom w:val="none" w:sz="0" w:space="0" w:color="auto"/>
        <w:right w:val="none" w:sz="0" w:space="0" w:color="auto"/>
      </w:divBdr>
    </w:div>
    <w:div w:id="1709066894">
      <w:bodyDiv w:val="1"/>
      <w:marLeft w:val="0"/>
      <w:marRight w:val="0"/>
      <w:marTop w:val="0"/>
      <w:marBottom w:val="0"/>
      <w:divBdr>
        <w:top w:val="none" w:sz="0" w:space="0" w:color="auto"/>
        <w:left w:val="none" w:sz="0" w:space="0" w:color="auto"/>
        <w:bottom w:val="none" w:sz="0" w:space="0" w:color="auto"/>
        <w:right w:val="none" w:sz="0" w:space="0" w:color="auto"/>
      </w:divBdr>
      <w:divsChild>
        <w:div w:id="761605029">
          <w:marLeft w:val="0"/>
          <w:marRight w:val="0"/>
          <w:marTop w:val="0"/>
          <w:marBottom w:val="0"/>
          <w:divBdr>
            <w:top w:val="none" w:sz="0" w:space="0" w:color="auto"/>
            <w:left w:val="none" w:sz="0" w:space="0" w:color="auto"/>
            <w:bottom w:val="none" w:sz="0" w:space="0" w:color="auto"/>
            <w:right w:val="none" w:sz="0" w:space="0" w:color="auto"/>
          </w:divBdr>
        </w:div>
        <w:div w:id="1600136930">
          <w:marLeft w:val="0"/>
          <w:marRight w:val="0"/>
          <w:marTop w:val="0"/>
          <w:marBottom w:val="0"/>
          <w:divBdr>
            <w:top w:val="none" w:sz="0" w:space="0" w:color="auto"/>
            <w:left w:val="none" w:sz="0" w:space="0" w:color="auto"/>
            <w:bottom w:val="none" w:sz="0" w:space="0" w:color="auto"/>
            <w:right w:val="none" w:sz="0" w:space="0" w:color="auto"/>
          </w:divBdr>
        </w:div>
        <w:div w:id="925650452">
          <w:marLeft w:val="0"/>
          <w:marRight w:val="0"/>
          <w:marTop w:val="0"/>
          <w:marBottom w:val="0"/>
          <w:divBdr>
            <w:top w:val="none" w:sz="0" w:space="0" w:color="auto"/>
            <w:left w:val="none" w:sz="0" w:space="0" w:color="auto"/>
            <w:bottom w:val="none" w:sz="0" w:space="0" w:color="auto"/>
            <w:right w:val="none" w:sz="0" w:space="0" w:color="auto"/>
          </w:divBdr>
        </w:div>
        <w:div w:id="1783303154">
          <w:marLeft w:val="0"/>
          <w:marRight w:val="0"/>
          <w:marTop w:val="0"/>
          <w:marBottom w:val="0"/>
          <w:divBdr>
            <w:top w:val="none" w:sz="0" w:space="0" w:color="auto"/>
            <w:left w:val="none" w:sz="0" w:space="0" w:color="auto"/>
            <w:bottom w:val="none" w:sz="0" w:space="0" w:color="auto"/>
            <w:right w:val="none" w:sz="0" w:space="0" w:color="auto"/>
          </w:divBdr>
        </w:div>
        <w:div w:id="1086654456">
          <w:marLeft w:val="0"/>
          <w:marRight w:val="0"/>
          <w:marTop w:val="0"/>
          <w:marBottom w:val="0"/>
          <w:divBdr>
            <w:top w:val="none" w:sz="0" w:space="0" w:color="auto"/>
            <w:left w:val="none" w:sz="0" w:space="0" w:color="auto"/>
            <w:bottom w:val="none" w:sz="0" w:space="0" w:color="auto"/>
            <w:right w:val="none" w:sz="0" w:space="0" w:color="auto"/>
          </w:divBdr>
        </w:div>
        <w:div w:id="1380859687">
          <w:marLeft w:val="0"/>
          <w:marRight w:val="0"/>
          <w:marTop w:val="0"/>
          <w:marBottom w:val="0"/>
          <w:divBdr>
            <w:top w:val="none" w:sz="0" w:space="0" w:color="auto"/>
            <w:left w:val="none" w:sz="0" w:space="0" w:color="auto"/>
            <w:bottom w:val="none" w:sz="0" w:space="0" w:color="auto"/>
            <w:right w:val="none" w:sz="0" w:space="0" w:color="auto"/>
          </w:divBdr>
        </w:div>
        <w:div w:id="1532301019">
          <w:marLeft w:val="0"/>
          <w:marRight w:val="0"/>
          <w:marTop w:val="0"/>
          <w:marBottom w:val="0"/>
          <w:divBdr>
            <w:top w:val="none" w:sz="0" w:space="0" w:color="auto"/>
            <w:left w:val="none" w:sz="0" w:space="0" w:color="auto"/>
            <w:bottom w:val="none" w:sz="0" w:space="0" w:color="auto"/>
            <w:right w:val="none" w:sz="0" w:space="0" w:color="auto"/>
          </w:divBdr>
        </w:div>
        <w:div w:id="116920481">
          <w:marLeft w:val="0"/>
          <w:marRight w:val="0"/>
          <w:marTop w:val="0"/>
          <w:marBottom w:val="0"/>
          <w:divBdr>
            <w:top w:val="none" w:sz="0" w:space="0" w:color="auto"/>
            <w:left w:val="none" w:sz="0" w:space="0" w:color="auto"/>
            <w:bottom w:val="none" w:sz="0" w:space="0" w:color="auto"/>
            <w:right w:val="none" w:sz="0" w:space="0" w:color="auto"/>
          </w:divBdr>
        </w:div>
        <w:div w:id="1987467215">
          <w:marLeft w:val="0"/>
          <w:marRight w:val="0"/>
          <w:marTop w:val="0"/>
          <w:marBottom w:val="0"/>
          <w:divBdr>
            <w:top w:val="none" w:sz="0" w:space="0" w:color="auto"/>
            <w:left w:val="none" w:sz="0" w:space="0" w:color="auto"/>
            <w:bottom w:val="none" w:sz="0" w:space="0" w:color="auto"/>
            <w:right w:val="none" w:sz="0" w:space="0" w:color="auto"/>
          </w:divBdr>
        </w:div>
        <w:div w:id="1028722798">
          <w:marLeft w:val="0"/>
          <w:marRight w:val="0"/>
          <w:marTop w:val="0"/>
          <w:marBottom w:val="0"/>
          <w:divBdr>
            <w:top w:val="none" w:sz="0" w:space="0" w:color="auto"/>
            <w:left w:val="none" w:sz="0" w:space="0" w:color="auto"/>
            <w:bottom w:val="none" w:sz="0" w:space="0" w:color="auto"/>
            <w:right w:val="none" w:sz="0" w:space="0" w:color="auto"/>
          </w:divBdr>
        </w:div>
        <w:div w:id="1386375198">
          <w:marLeft w:val="0"/>
          <w:marRight w:val="0"/>
          <w:marTop w:val="0"/>
          <w:marBottom w:val="0"/>
          <w:divBdr>
            <w:top w:val="none" w:sz="0" w:space="0" w:color="auto"/>
            <w:left w:val="none" w:sz="0" w:space="0" w:color="auto"/>
            <w:bottom w:val="none" w:sz="0" w:space="0" w:color="auto"/>
            <w:right w:val="none" w:sz="0" w:space="0" w:color="auto"/>
          </w:divBdr>
        </w:div>
        <w:div w:id="1592591532">
          <w:marLeft w:val="0"/>
          <w:marRight w:val="0"/>
          <w:marTop w:val="0"/>
          <w:marBottom w:val="0"/>
          <w:divBdr>
            <w:top w:val="none" w:sz="0" w:space="0" w:color="auto"/>
            <w:left w:val="none" w:sz="0" w:space="0" w:color="auto"/>
            <w:bottom w:val="none" w:sz="0" w:space="0" w:color="auto"/>
            <w:right w:val="none" w:sz="0" w:space="0" w:color="auto"/>
          </w:divBdr>
        </w:div>
        <w:div w:id="1386878880">
          <w:marLeft w:val="0"/>
          <w:marRight w:val="0"/>
          <w:marTop w:val="0"/>
          <w:marBottom w:val="0"/>
          <w:divBdr>
            <w:top w:val="none" w:sz="0" w:space="0" w:color="auto"/>
            <w:left w:val="none" w:sz="0" w:space="0" w:color="auto"/>
            <w:bottom w:val="none" w:sz="0" w:space="0" w:color="auto"/>
            <w:right w:val="none" w:sz="0" w:space="0" w:color="auto"/>
          </w:divBdr>
        </w:div>
        <w:div w:id="1665236571">
          <w:marLeft w:val="0"/>
          <w:marRight w:val="0"/>
          <w:marTop w:val="0"/>
          <w:marBottom w:val="0"/>
          <w:divBdr>
            <w:top w:val="none" w:sz="0" w:space="0" w:color="auto"/>
            <w:left w:val="none" w:sz="0" w:space="0" w:color="auto"/>
            <w:bottom w:val="none" w:sz="0" w:space="0" w:color="auto"/>
            <w:right w:val="none" w:sz="0" w:space="0" w:color="auto"/>
          </w:divBdr>
        </w:div>
        <w:div w:id="618951778">
          <w:marLeft w:val="0"/>
          <w:marRight w:val="0"/>
          <w:marTop w:val="0"/>
          <w:marBottom w:val="0"/>
          <w:divBdr>
            <w:top w:val="none" w:sz="0" w:space="0" w:color="auto"/>
            <w:left w:val="none" w:sz="0" w:space="0" w:color="auto"/>
            <w:bottom w:val="none" w:sz="0" w:space="0" w:color="auto"/>
            <w:right w:val="none" w:sz="0" w:space="0" w:color="auto"/>
          </w:divBdr>
        </w:div>
        <w:div w:id="2093232239">
          <w:marLeft w:val="0"/>
          <w:marRight w:val="0"/>
          <w:marTop w:val="0"/>
          <w:marBottom w:val="0"/>
          <w:divBdr>
            <w:top w:val="none" w:sz="0" w:space="0" w:color="auto"/>
            <w:left w:val="none" w:sz="0" w:space="0" w:color="auto"/>
            <w:bottom w:val="none" w:sz="0" w:space="0" w:color="auto"/>
            <w:right w:val="none" w:sz="0" w:space="0" w:color="auto"/>
          </w:divBdr>
        </w:div>
        <w:div w:id="966936421">
          <w:marLeft w:val="0"/>
          <w:marRight w:val="0"/>
          <w:marTop w:val="0"/>
          <w:marBottom w:val="0"/>
          <w:divBdr>
            <w:top w:val="none" w:sz="0" w:space="0" w:color="auto"/>
            <w:left w:val="none" w:sz="0" w:space="0" w:color="auto"/>
            <w:bottom w:val="none" w:sz="0" w:space="0" w:color="auto"/>
            <w:right w:val="none" w:sz="0" w:space="0" w:color="auto"/>
          </w:divBdr>
        </w:div>
        <w:div w:id="312637161">
          <w:marLeft w:val="0"/>
          <w:marRight w:val="0"/>
          <w:marTop w:val="0"/>
          <w:marBottom w:val="0"/>
          <w:divBdr>
            <w:top w:val="none" w:sz="0" w:space="0" w:color="auto"/>
            <w:left w:val="none" w:sz="0" w:space="0" w:color="auto"/>
            <w:bottom w:val="none" w:sz="0" w:space="0" w:color="auto"/>
            <w:right w:val="none" w:sz="0" w:space="0" w:color="auto"/>
          </w:divBdr>
        </w:div>
        <w:div w:id="2089224464">
          <w:marLeft w:val="0"/>
          <w:marRight w:val="0"/>
          <w:marTop w:val="0"/>
          <w:marBottom w:val="0"/>
          <w:divBdr>
            <w:top w:val="none" w:sz="0" w:space="0" w:color="auto"/>
            <w:left w:val="none" w:sz="0" w:space="0" w:color="auto"/>
            <w:bottom w:val="none" w:sz="0" w:space="0" w:color="auto"/>
            <w:right w:val="none" w:sz="0" w:space="0" w:color="auto"/>
          </w:divBdr>
        </w:div>
        <w:div w:id="591858726">
          <w:marLeft w:val="0"/>
          <w:marRight w:val="0"/>
          <w:marTop w:val="0"/>
          <w:marBottom w:val="0"/>
          <w:divBdr>
            <w:top w:val="none" w:sz="0" w:space="0" w:color="auto"/>
            <w:left w:val="none" w:sz="0" w:space="0" w:color="auto"/>
            <w:bottom w:val="none" w:sz="0" w:space="0" w:color="auto"/>
            <w:right w:val="none" w:sz="0" w:space="0" w:color="auto"/>
          </w:divBdr>
          <w:divsChild>
            <w:div w:id="662272336">
              <w:marLeft w:val="0"/>
              <w:marRight w:val="0"/>
              <w:marTop w:val="0"/>
              <w:marBottom w:val="0"/>
              <w:divBdr>
                <w:top w:val="none" w:sz="0" w:space="0" w:color="auto"/>
                <w:left w:val="none" w:sz="0" w:space="0" w:color="auto"/>
                <w:bottom w:val="none" w:sz="0" w:space="0" w:color="auto"/>
                <w:right w:val="none" w:sz="0" w:space="0" w:color="auto"/>
              </w:divBdr>
            </w:div>
          </w:divsChild>
        </w:div>
        <w:div w:id="403723045">
          <w:marLeft w:val="0"/>
          <w:marRight w:val="0"/>
          <w:marTop w:val="0"/>
          <w:marBottom w:val="0"/>
          <w:divBdr>
            <w:top w:val="none" w:sz="0" w:space="0" w:color="auto"/>
            <w:left w:val="none" w:sz="0" w:space="0" w:color="auto"/>
            <w:bottom w:val="none" w:sz="0" w:space="0" w:color="auto"/>
            <w:right w:val="none" w:sz="0" w:space="0" w:color="auto"/>
          </w:divBdr>
        </w:div>
        <w:div w:id="1209564346">
          <w:marLeft w:val="0"/>
          <w:marRight w:val="0"/>
          <w:marTop w:val="0"/>
          <w:marBottom w:val="0"/>
          <w:divBdr>
            <w:top w:val="none" w:sz="0" w:space="0" w:color="auto"/>
            <w:left w:val="none" w:sz="0" w:space="0" w:color="auto"/>
            <w:bottom w:val="none" w:sz="0" w:space="0" w:color="auto"/>
            <w:right w:val="none" w:sz="0" w:space="0" w:color="auto"/>
          </w:divBdr>
        </w:div>
        <w:div w:id="484706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chart" Target="charts/chart17.xml"/><Relationship Id="rId26" Type="http://schemas.openxmlformats.org/officeDocument/2006/relationships/chart" Target="charts/chart7.xml"/><Relationship Id="rId39" Type="http://schemas.openxmlformats.org/officeDocument/2006/relationships/hyperlink" Target="https://www.cnbc.com/us-treasurys/" TargetMode="External"/><Relationship Id="rId21" Type="http://schemas.openxmlformats.org/officeDocument/2006/relationships/image" Target="media/image5.jpeg"/><Relationship Id="rId34" Type="http://schemas.openxmlformats.org/officeDocument/2006/relationships/chart" Target="charts/chart15.xml"/><Relationship Id="rId42" Type="http://schemas.openxmlformats.org/officeDocument/2006/relationships/hyperlink" Target="https://www.bloomberg.com/europe"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2.xml"/><Relationship Id="rId29"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rbhi.gupta1@ucdconnect.ie" TargetMode="External"/><Relationship Id="rId24" Type="http://schemas.openxmlformats.org/officeDocument/2006/relationships/chart" Target="charts/chart5.xml"/><Relationship Id="rId32" Type="http://schemas.openxmlformats.org/officeDocument/2006/relationships/chart" Target="charts/chart13.xml"/><Relationship Id="rId37" Type="http://schemas.openxmlformats.org/officeDocument/2006/relationships/hyperlink" Target="https://www.dianashippinginc.com/wp-content/uploads/2022/11/diana-shipping-inc.-corporate-presentation-171122.pdf" TargetMode="External"/><Relationship Id="rId40" Type="http://schemas.openxmlformats.org/officeDocument/2006/relationships/hyperlink" Target="https://www.balticexchange.com/en/data-services/freight-derivatives-/Baltic-Forward-Assessments.html"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4.xml"/><Relationship Id="rId28" Type="http://schemas.openxmlformats.org/officeDocument/2006/relationships/chart" Target="charts/chart9.xml"/><Relationship Id="rId36" Type="http://schemas.openxmlformats.org/officeDocument/2006/relationships/chart" Target="charts/chart16.xml"/><Relationship Id="rId10" Type="http://schemas.openxmlformats.org/officeDocument/2006/relationships/hyperlink" Target="mailto:Kevin.aherne1@ucdconnect.ie" TargetMode="External"/><Relationship Id="rId19" Type="http://schemas.openxmlformats.org/officeDocument/2006/relationships/chart" Target="charts/chart20.xml"/><Relationship Id="rId31" Type="http://schemas.openxmlformats.org/officeDocument/2006/relationships/chart" Target="charts/chart12.xml"/><Relationship Id="rId44" Type="http://schemas.openxmlformats.org/officeDocument/2006/relationships/hyperlink" Target="https://markets.ft.com/data/funds/tearsheet/historical?s=WFIVX" TargetMode="External"/><Relationship Id="rId4" Type="http://schemas.openxmlformats.org/officeDocument/2006/relationships/settings" Target="settings.xml"/><Relationship Id="rId9" Type="http://schemas.openxmlformats.org/officeDocument/2006/relationships/hyperlink" Target="mailto:Surbhi.gupta1@ucdconnect.ie" TargetMode="External"/><Relationship Id="rId14" Type="http://schemas.openxmlformats.org/officeDocument/2006/relationships/image" Target="media/image3.emf"/><Relationship Id="rId22" Type="http://schemas.openxmlformats.org/officeDocument/2006/relationships/chart" Target="charts/chart3.xml"/><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image" Target="media/image6.png"/><Relationship Id="rId43" Type="http://schemas.openxmlformats.org/officeDocument/2006/relationships/hyperlink" Target="https://emea1-apps.platform.refinitiv.com/web/Apps/Corp?s=DSX&amp;st=RIC&amp;app=true" TargetMode="External"/><Relationship Id="rId8" Type="http://schemas.openxmlformats.org/officeDocument/2006/relationships/hyperlink" Target="mailto:Kevin.aherne1@ucdconnect.ie" TargetMode="External"/><Relationship Id="rId3"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0.emf"/><Relationship Id="rId25" Type="http://schemas.openxmlformats.org/officeDocument/2006/relationships/chart" Target="charts/chart6.xml"/><Relationship Id="rId33" Type="http://schemas.openxmlformats.org/officeDocument/2006/relationships/chart" Target="charts/chart14.xml"/><Relationship Id="rId38" Type="http://schemas.openxmlformats.org/officeDocument/2006/relationships/hyperlink" Target="https://ir.eagleships.com/static-files/d3fb5d2c-966d-47e4-b6d3-571fe4087569" TargetMode="External"/><Relationship Id="rId46" Type="http://schemas.openxmlformats.org/officeDocument/2006/relationships/fontTable" Target="fontTable.xml"/><Relationship Id="rId20" Type="http://schemas.openxmlformats.org/officeDocument/2006/relationships/image" Target="media/image4.jpeg"/><Relationship Id="rId41" Type="http://schemas.openxmlformats.org/officeDocument/2006/relationships/hyperlink" Target="https://preview.thenewsmarket.com/Previews/PWC/DocumentAssets/462085.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4372c321119de596/Desktop/UCD/MSc%20Quantitative%20Finance/Yale/Diana%20Shipping/Price%20History_20221205_0426.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Users/kevinaherne/Downloads/Copy%20of%20diana.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Users\kevinaherne\Downloads\diana.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Users\kevinaherne\Downloads\diana.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https://d.docs.live.net/4372c321119de596/Desktop/UCD/MSc%20Quantitative%20Finance/Yale/Diana%20Shipping/Diana%20SC.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https://d.docs.live.net/4372c321119de596/Desktop/UCD/MSc%20Quantitative%20Finance/Yale/Diana%20Shipping/Diana%20SC.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https://d.docs.live.net/4372c321119de596/Desktop/UCD/MSc%20Quantitative%20Finance/Yale/Diana%20Shipping/Diana%20SC.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https://d.docs.live.net/4372c321119de596/Desktop/UCD/MSc%20Quantitative%20Finance/Yale/Diana%20Shipping/Diana%20SC.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https://d.docs.live.net/4372c321119de596/Desktop/UCD/MSc%20Quantitative%20Finance/Yale/Diana%20Shipping/Price%20History_20221205_0426.xlsx" TargetMode="External"/><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4372c321119de596/Desktop/UCD/MSc%20Quantitative%20Finance/Yale/Diana%20Shipping/Diana%20SC.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https://d.docs.live.net/4372c321119de596/Desktop/UCD/MSc%20Quantitative%20Finance/Yale/Diana%20Shipping/Diana%20SC.xlsx" TargetMode="External"/><Relationship Id="rId2" Type="http://schemas.microsoft.com/office/2011/relationships/chartColorStyle" Target="colors20.xml"/><Relationship Id="rId1" Type="http://schemas.microsoft.com/office/2011/relationships/chartStyle" Target="style20.xml"/></Relationships>
</file>

<file path=word/charts/_rels/chart3.xml.rels><?xml version="1.0" encoding="UTF-8" standalone="yes"?>
<Relationships xmlns="http://schemas.openxmlformats.org/package/2006/relationships"><Relationship Id="rId3" Type="http://schemas.openxmlformats.org/officeDocument/2006/relationships/oleObject" Target="file:////Users\kevinaherne\Downloads\dian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kevinaherne\Downloads\dian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sers\kevinaherne\Downloads\dian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Users\kevinaherne\Downloads\dian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Users\kevinaherne\Downloads\diana.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Users\kevinaherne\Downloads\diana.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Users/kevinaherne/Downloads/Copy%20of%20diana.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0">
                <a:solidFill>
                  <a:schemeClr val="accent6"/>
                </a:solidFill>
              </a:rPr>
              <a:t>Diana Shipping Share Price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cat>
            <c:numRef>
              <c:f>'[Price History_20221205_0426.xlsx]Sheet1'!$A$1:$A$213</c:f>
              <c:numCache>
                <c:formatCode>m/d/yyyy</c:formatCode>
                <c:ptCount val="213"/>
                <c:pt idx="0">
                  <c:v>38472</c:v>
                </c:pt>
                <c:pt idx="1">
                  <c:v>38503</c:v>
                </c:pt>
                <c:pt idx="2">
                  <c:v>38533</c:v>
                </c:pt>
                <c:pt idx="3">
                  <c:v>38564</c:v>
                </c:pt>
                <c:pt idx="4">
                  <c:v>38595</c:v>
                </c:pt>
                <c:pt idx="5">
                  <c:v>38625</c:v>
                </c:pt>
                <c:pt idx="6">
                  <c:v>38656</c:v>
                </c:pt>
                <c:pt idx="7">
                  <c:v>38686</c:v>
                </c:pt>
                <c:pt idx="8">
                  <c:v>38717</c:v>
                </c:pt>
                <c:pt idx="9">
                  <c:v>38748</c:v>
                </c:pt>
                <c:pt idx="10">
                  <c:v>38776</c:v>
                </c:pt>
                <c:pt idx="11">
                  <c:v>38807</c:v>
                </c:pt>
                <c:pt idx="12">
                  <c:v>38837</c:v>
                </c:pt>
                <c:pt idx="13">
                  <c:v>38868</c:v>
                </c:pt>
                <c:pt idx="14">
                  <c:v>38898</c:v>
                </c:pt>
                <c:pt idx="15">
                  <c:v>38929</c:v>
                </c:pt>
                <c:pt idx="16">
                  <c:v>38960</c:v>
                </c:pt>
                <c:pt idx="17">
                  <c:v>38990</c:v>
                </c:pt>
                <c:pt idx="18">
                  <c:v>39021</c:v>
                </c:pt>
                <c:pt idx="19">
                  <c:v>39051</c:v>
                </c:pt>
                <c:pt idx="20">
                  <c:v>39082</c:v>
                </c:pt>
                <c:pt idx="21">
                  <c:v>39113</c:v>
                </c:pt>
                <c:pt idx="22">
                  <c:v>39141</c:v>
                </c:pt>
                <c:pt idx="23">
                  <c:v>39172</c:v>
                </c:pt>
                <c:pt idx="24">
                  <c:v>39202</c:v>
                </c:pt>
                <c:pt idx="25">
                  <c:v>39233</c:v>
                </c:pt>
                <c:pt idx="26">
                  <c:v>39263</c:v>
                </c:pt>
                <c:pt idx="27">
                  <c:v>39294</c:v>
                </c:pt>
                <c:pt idx="28">
                  <c:v>39325</c:v>
                </c:pt>
                <c:pt idx="29">
                  <c:v>39355</c:v>
                </c:pt>
                <c:pt idx="30">
                  <c:v>39386</c:v>
                </c:pt>
                <c:pt idx="31">
                  <c:v>39416</c:v>
                </c:pt>
                <c:pt idx="32">
                  <c:v>39447</c:v>
                </c:pt>
                <c:pt idx="33">
                  <c:v>39478</c:v>
                </c:pt>
                <c:pt idx="34">
                  <c:v>39507</c:v>
                </c:pt>
                <c:pt idx="35">
                  <c:v>39538</c:v>
                </c:pt>
                <c:pt idx="36">
                  <c:v>39568</c:v>
                </c:pt>
                <c:pt idx="37">
                  <c:v>39599</c:v>
                </c:pt>
                <c:pt idx="38">
                  <c:v>39629</c:v>
                </c:pt>
                <c:pt idx="39">
                  <c:v>39660</c:v>
                </c:pt>
                <c:pt idx="40">
                  <c:v>39691</c:v>
                </c:pt>
                <c:pt idx="41">
                  <c:v>39721</c:v>
                </c:pt>
                <c:pt idx="42">
                  <c:v>39752</c:v>
                </c:pt>
                <c:pt idx="43">
                  <c:v>39782</c:v>
                </c:pt>
                <c:pt idx="44">
                  <c:v>39813</c:v>
                </c:pt>
                <c:pt idx="45">
                  <c:v>39844</c:v>
                </c:pt>
                <c:pt idx="46">
                  <c:v>39872</c:v>
                </c:pt>
                <c:pt idx="47">
                  <c:v>39903</c:v>
                </c:pt>
                <c:pt idx="48">
                  <c:v>39933</c:v>
                </c:pt>
                <c:pt idx="49">
                  <c:v>39964</c:v>
                </c:pt>
                <c:pt idx="50">
                  <c:v>39994</c:v>
                </c:pt>
                <c:pt idx="51">
                  <c:v>40025</c:v>
                </c:pt>
                <c:pt idx="52">
                  <c:v>40056</c:v>
                </c:pt>
                <c:pt idx="53">
                  <c:v>40086</c:v>
                </c:pt>
                <c:pt idx="54">
                  <c:v>40117</c:v>
                </c:pt>
                <c:pt idx="55">
                  <c:v>40147</c:v>
                </c:pt>
                <c:pt idx="56">
                  <c:v>40178</c:v>
                </c:pt>
                <c:pt idx="57">
                  <c:v>40209</c:v>
                </c:pt>
                <c:pt idx="58">
                  <c:v>40237</c:v>
                </c:pt>
                <c:pt idx="59">
                  <c:v>40268</c:v>
                </c:pt>
                <c:pt idx="60">
                  <c:v>40298</c:v>
                </c:pt>
                <c:pt idx="61">
                  <c:v>40329</c:v>
                </c:pt>
                <c:pt idx="62">
                  <c:v>40359</c:v>
                </c:pt>
                <c:pt idx="63">
                  <c:v>40390</c:v>
                </c:pt>
                <c:pt idx="64">
                  <c:v>40421</c:v>
                </c:pt>
                <c:pt idx="65">
                  <c:v>40451</c:v>
                </c:pt>
                <c:pt idx="66">
                  <c:v>40482</c:v>
                </c:pt>
                <c:pt idx="67">
                  <c:v>40512</c:v>
                </c:pt>
                <c:pt idx="68">
                  <c:v>40543</c:v>
                </c:pt>
                <c:pt idx="69">
                  <c:v>40574</c:v>
                </c:pt>
                <c:pt idx="70">
                  <c:v>40602</c:v>
                </c:pt>
                <c:pt idx="71">
                  <c:v>40633</c:v>
                </c:pt>
                <c:pt idx="72">
                  <c:v>40663</c:v>
                </c:pt>
                <c:pt idx="73">
                  <c:v>40694</c:v>
                </c:pt>
                <c:pt idx="74">
                  <c:v>40724</c:v>
                </c:pt>
                <c:pt idx="75">
                  <c:v>40755</c:v>
                </c:pt>
                <c:pt idx="76">
                  <c:v>40786</c:v>
                </c:pt>
                <c:pt idx="77">
                  <c:v>40816</c:v>
                </c:pt>
                <c:pt idx="78">
                  <c:v>40847</c:v>
                </c:pt>
                <c:pt idx="79">
                  <c:v>40877</c:v>
                </c:pt>
                <c:pt idx="80">
                  <c:v>40908</c:v>
                </c:pt>
                <c:pt idx="81">
                  <c:v>40939</c:v>
                </c:pt>
                <c:pt idx="82">
                  <c:v>40968</c:v>
                </c:pt>
                <c:pt idx="83">
                  <c:v>40999</c:v>
                </c:pt>
                <c:pt idx="84">
                  <c:v>41029</c:v>
                </c:pt>
                <c:pt idx="85">
                  <c:v>41060</c:v>
                </c:pt>
                <c:pt idx="86">
                  <c:v>41090</c:v>
                </c:pt>
                <c:pt idx="87">
                  <c:v>41121</c:v>
                </c:pt>
                <c:pt idx="88">
                  <c:v>41152</c:v>
                </c:pt>
                <c:pt idx="89">
                  <c:v>41182</c:v>
                </c:pt>
                <c:pt idx="90">
                  <c:v>41213</c:v>
                </c:pt>
                <c:pt idx="91">
                  <c:v>41243</c:v>
                </c:pt>
                <c:pt idx="92">
                  <c:v>41274</c:v>
                </c:pt>
                <c:pt idx="93">
                  <c:v>41305</c:v>
                </c:pt>
                <c:pt idx="94">
                  <c:v>41333</c:v>
                </c:pt>
                <c:pt idx="95">
                  <c:v>41364</c:v>
                </c:pt>
                <c:pt idx="96">
                  <c:v>41394</c:v>
                </c:pt>
                <c:pt idx="97">
                  <c:v>41425</c:v>
                </c:pt>
                <c:pt idx="98">
                  <c:v>41455</c:v>
                </c:pt>
                <c:pt idx="99">
                  <c:v>41486</c:v>
                </c:pt>
                <c:pt idx="100">
                  <c:v>41517</c:v>
                </c:pt>
                <c:pt idx="101">
                  <c:v>41547</c:v>
                </c:pt>
                <c:pt idx="102">
                  <c:v>41578</c:v>
                </c:pt>
                <c:pt idx="103">
                  <c:v>41608</c:v>
                </c:pt>
                <c:pt idx="104">
                  <c:v>41639</c:v>
                </c:pt>
                <c:pt idx="105">
                  <c:v>41670</c:v>
                </c:pt>
                <c:pt idx="106">
                  <c:v>41698</c:v>
                </c:pt>
                <c:pt idx="107">
                  <c:v>41729</c:v>
                </c:pt>
                <c:pt idx="108">
                  <c:v>41759</c:v>
                </c:pt>
                <c:pt idx="109">
                  <c:v>41790</c:v>
                </c:pt>
                <c:pt idx="110">
                  <c:v>41820</c:v>
                </c:pt>
                <c:pt idx="111">
                  <c:v>41851</c:v>
                </c:pt>
                <c:pt idx="112">
                  <c:v>41882</c:v>
                </c:pt>
                <c:pt idx="113">
                  <c:v>41912</c:v>
                </c:pt>
                <c:pt idx="114">
                  <c:v>41943</c:v>
                </c:pt>
                <c:pt idx="115">
                  <c:v>41973</c:v>
                </c:pt>
                <c:pt idx="116">
                  <c:v>42004</c:v>
                </c:pt>
                <c:pt idx="117">
                  <c:v>42035</c:v>
                </c:pt>
                <c:pt idx="118">
                  <c:v>42063</c:v>
                </c:pt>
                <c:pt idx="119">
                  <c:v>42094</c:v>
                </c:pt>
                <c:pt idx="120">
                  <c:v>42124</c:v>
                </c:pt>
                <c:pt idx="121">
                  <c:v>42155</c:v>
                </c:pt>
                <c:pt idx="122">
                  <c:v>42185</c:v>
                </c:pt>
                <c:pt idx="123">
                  <c:v>42216</c:v>
                </c:pt>
                <c:pt idx="124">
                  <c:v>42247</c:v>
                </c:pt>
                <c:pt idx="125">
                  <c:v>42277</c:v>
                </c:pt>
                <c:pt idx="126">
                  <c:v>42308</c:v>
                </c:pt>
                <c:pt idx="127">
                  <c:v>42338</c:v>
                </c:pt>
                <c:pt idx="128">
                  <c:v>42369</c:v>
                </c:pt>
                <c:pt idx="129">
                  <c:v>42400</c:v>
                </c:pt>
                <c:pt idx="130">
                  <c:v>42429</c:v>
                </c:pt>
                <c:pt idx="131">
                  <c:v>42460</c:v>
                </c:pt>
                <c:pt idx="132">
                  <c:v>42490</c:v>
                </c:pt>
                <c:pt idx="133">
                  <c:v>42521</c:v>
                </c:pt>
                <c:pt idx="134">
                  <c:v>42551</c:v>
                </c:pt>
                <c:pt idx="135">
                  <c:v>42582</c:v>
                </c:pt>
                <c:pt idx="136">
                  <c:v>42613</c:v>
                </c:pt>
                <c:pt idx="137">
                  <c:v>42643</c:v>
                </c:pt>
                <c:pt idx="138">
                  <c:v>42674</c:v>
                </c:pt>
                <c:pt idx="139">
                  <c:v>42704</c:v>
                </c:pt>
                <c:pt idx="140">
                  <c:v>42735</c:v>
                </c:pt>
                <c:pt idx="141">
                  <c:v>42766</c:v>
                </c:pt>
                <c:pt idx="142">
                  <c:v>42794</c:v>
                </c:pt>
                <c:pt idx="143">
                  <c:v>42825</c:v>
                </c:pt>
                <c:pt idx="144">
                  <c:v>42855</c:v>
                </c:pt>
                <c:pt idx="145">
                  <c:v>42886</c:v>
                </c:pt>
                <c:pt idx="146">
                  <c:v>42916</c:v>
                </c:pt>
                <c:pt idx="147">
                  <c:v>42947</c:v>
                </c:pt>
                <c:pt idx="148">
                  <c:v>42978</c:v>
                </c:pt>
                <c:pt idx="149">
                  <c:v>43008</c:v>
                </c:pt>
                <c:pt idx="150">
                  <c:v>43039</c:v>
                </c:pt>
                <c:pt idx="151">
                  <c:v>43069</c:v>
                </c:pt>
                <c:pt idx="152">
                  <c:v>43100</c:v>
                </c:pt>
                <c:pt idx="153">
                  <c:v>43131</c:v>
                </c:pt>
                <c:pt idx="154">
                  <c:v>43159</c:v>
                </c:pt>
                <c:pt idx="155">
                  <c:v>43190</c:v>
                </c:pt>
                <c:pt idx="156">
                  <c:v>43220</c:v>
                </c:pt>
                <c:pt idx="157">
                  <c:v>43251</c:v>
                </c:pt>
                <c:pt idx="158">
                  <c:v>43281</c:v>
                </c:pt>
                <c:pt idx="159">
                  <c:v>43312</c:v>
                </c:pt>
                <c:pt idx="160">
                  <c:v>43343</c:v>
                </c:pt>
                <c:pt idx="161">
                  <c:v>43373</c:v>
                </c:pt>
                <c:pt idx="162">
                  <c:v>43404</c:v>
                </c:pt>
                <c:pt idx="163">
                  <c:v>43434</c:v>
                </c:pt>
                <c:pt idx="164">
                  <c:v>43465</c:v>
                </c:pt>
                <c:pt idx="165">
                  <c:v>43496</c:v>
                </c:pt>
                <c:pt idx="166">
                  <c:v>43524</c:v>
                </c:pt>
                <c:pt idx="167">
                  <c:v>43555</c:v>
                </c:pt>
                <c:pt idx="168">
                  <c:v>43585</c:v>
                </c:pt>
                <c:pt idx="169">
                  <c:v>43616</c:v>
                </c:pt>
                <c:pt idx="170">
                  <c:v>43646</c:v>
                </c:pt>
                <c:pt idx="171">
                  <c:v>43677</c:v>
                </c:pt>
                <c:pt idx="172">
                  <c:v>43708</c:v>
                </c:pt>
                <c:pt idx="173">
                  <c:v>43738</c:v>
                </c:pt>
                <c:pt idx="174">
                  <c:v>43769</c:v>
                </c:pt>
                <c:pt idx="175">
                  <c:v>43799</c:v>
                </c:pt>
                <c:pt idx="176">
                  <c:v>43830</c:v>
                </c:pt>
                <c:pt idx="177">
                  <c:v>43861</c:v>
                </c:pt>
                <c:pt idx="178">
                  <c:v>43890</c:v>
                </c:pt>
                <c:pt idx="179">
                  <c:v>43921</c:v>
                </c:pt>
                <c:pt idx="180">
                  <c:v>43951</c:v>
                </c:pt>
                <c:pt idx="181">
                  <c:v>43982</c:v>
                </c:pt>
                <c:pt idx="182">
                  <c:v>44012</c:v>
                </c:pt>
                <c:pt idx="183">
                  <c:v>44043</c:v>
                </c:pt>
                <c:pt idx="184">
                  <c:v>44074</c:v>
                </c:pt>
                <c:pt idx="185">
                  <c:v>44104</c:v>
                </c:pt>
                <c:pt idx="186">
                  <c:v>44135</c:v>
                </c:pt>
                <c:pt idx="187">
                  <c:v>44165</c:v>
                </c:pt>
                <c:pt idx="188">
                  <c:v>44196</c:v>
                </c:pt>
                <c:pt idx="189">
                  <c:v>44227</c:v>
                </c:pt>
                <c:pt idx="190">
                  <c:v>44255</c:v>
                </c:pt>
                <c:pt idx="191">
                  <c:v>44286</c:v>
                </c:pt>
                <c:pt idx="192">
                  <c:v>44316</c:v>
                </c:pt>
                <c:pt idx="193">
                  <c:v>44347</c:v>
                </c:pt>
                <c:pt idx="194">
                  <c:v>44377</c:v>
                </c:pt>
                <c:pt idx="195">
                  <c:v>44408</c:v>
                </c:pt>
                <c:pt idx="196">
                  <c:v>44439</c:v>
                </c:pt>
                <c:pt idx="197">
                  <c:v>44469</c:v>
                </c:pt>
                <c:pt idx="198">
                  <c:v>44500</c:v>
                </c:pt>
                <c:pt idx="199">
                  <c:v>44530</c:v>
                </c:pt>
                <c:pt idx="200">
                  <c:v>44561</c:v>
                </c:pt>
                <c:pt idx="201">
                  <c:v>44592</c:v>
                </c:pt>
                <c:pt idx="202">
                  <c:v>44620</c:v>
                </c:pt>
                <c:pt idx="203">
                  <c:v>44651</c:v>
                </c:pt>
                <c:pt idx="204">
                  <c:v>44681</c:v>
                </c:pt>
                <c:pt idx="205">
                  <c:v>44712</c:v>
                </c:pt>
                <c:pt idx="206">
                  <c:v>44742</c:v>
                </c:pt>
                <c:pt idx="207">
                  <c:v>44773</c:v>
                </c:pt>
                <c:pt idx="208">
                  <c:v>44804</c:v>
                </c:pt>
                <c:pt idx="209">
                  <c:v>44834</c:v>
                </c:pt>
                <c:pt idx="210">
                  <c:v>44865</c:v>
                </c:pt>
                <c:pt idx="211">
                  <c:v>44895</c:v>
                </c:pt>
                <c:pt idx="212">
                  <c:v>44926</c:v>
                </c:pt>
              </c:numCache>
            </c:numRef>
          </c:cat>
          <c:val>
            <c:numRef>
              <c:f>'[Price History_20221205_0426.xlsx]Sheet1'!$B$1:$B$213</c:f>
              <c:numCache>
                <c:formatCode>#,##0.00;\-#,##0.00;#,##0.00;"--"</c:formatCode>
                <c:ptCount val="213"/>
                <c:pt idx="0">
                  <c:v>11.442876</c:v>
                </c:pt>
                <c:pt idx="1">
                  <c:v>12.446637000000001</c:v>
                </c:pt>
                <c:pt idx="2">
                  <c:v>11.756049000000001</c:v>
                </c:pt>
                <c:pt idx="3">
                  <c:v>10.431084999999999</c:v>
                </c:pt>
                <c:pt idx="4">
                  <c:v>11.250154</c:v>
                </c:pt>
                <c:pt idx="5">
                  <c:v>13.249646</c:v>
                </c:pt>
                <c:pt idx="6">
                  <c:v>12.567088</c:v>
                </c:pt>
                <c:pt idx="7">
                  <c:v>11.226063999999999</c:v>
                </c:pt>
                <c:pt idx="8">
                  <c:v>10.326694</c:v>
                </c:pt>
                <c:pt idx="9">
                  <c:v>9.3550529999999998</c:v>
                </c:pt>
                <c:pt idx="10">
                  <c:v>9.3952030000000004</c:v>
                </c:pt>
                <c:pt idx="11">
                  <c:v>9.724437</c:v>
                </c:pt>
                <c:pt idx="12">
                  <c:v>9.5959559999999993</c:v>
                </c:pt>
                <c:pt idx="13">
                  <c:v>8.8090069999999994</c:v>
                </c:pt>
                <c:pt idx="14">
                  <c:v>8.6323450000000008</c:v>
                </c:pt>
                <c:pt idx="15">
                  <c:v>9.0017289999999992</c:v>
                </c:pt>
                <c:pt idx="16">
                  <c:v>10.302603</c:v>
                </c:pt>
                <c:pt idx="17">
                  <c:v>10.704108</c:v>
                </c:pt>
                <c:pt idx="18">
                  <c:v>12.004982</c:v>
                </c:pt>
                <c:pt idx="19">
                  <c:v>12.334216</c:v>
                </c:pt>
                <c:pt idx="20">
                  <c:v>12.69557</c:v>
                </c:pt>
                <c:pt idx="21">
                  <c:v>12.679510000000001</c:v>
                </c:pt>
                <c:pt idx="22">
                  <c:v>15.353529</c:v>
                </c:pt>
                <c:pt idx="23">
                  <c:v>14.140986</c:v>
                </c:pt>
                <c:pt idx="24">
                  <c:v>16.260929000000001</c:v>
                </c:pt>
                <c:pt idx="25">
                  <c:v>18.300571999999999</c:v>
                </c:pt>
                <c:pt idx="26">
                  <c:v>17.987397999999999</c:v>
                </c:pt>
                <c:pt idx="27">
                  <c:v>22.524398000000001</c:v>
                </c:pt>
                <c:pt idx="28">
                  <c:v>21.319884999999999</c:v>
                </c:pt>
                <c:pt idx="29">
                  <c:v>22.885752</c:v>
                </c:pt>
                <c:pt idx="30">
                  <c:v>34.368779000000004</c:v>
                </c:pt>
                <c:pt idx="31">
                  <c:v>28.434543000000001</c:v>
                </c:pt>
                <c:pt idx="32">
                  <c:v>25.262657999999998</c:v>
                </c:pt>
                <c:pt idx="33">
                  <c:v>23.696791000000001</c:v>
                </c:pt>
                <c:pt idx="34">
                  <c:v>22.885752</c:v>
                </c:pt>
                <c:pt idx="35">
                  <c:v>21.135193000000001</c:v>
                </c:pt>
                <c:pt idx="36">
                  <c:v>24.379349000000001</c:v>
                </c:pt>
                <c:pt idx="37">
                  <c:v>28.097280000000001</c:v>
                </c:pt>
                <c:pt idx="38">
                  <c:v>24.660402000000001</c:v>
                </c:pt>
                <c:pt idx="39">
                  <c:v>24.435559000000001</c:v>
                </c:pt>
                <c:pt idx="40">
                  <c:v>22.789390999999998</c:v>
                </c:pt>
                <c:pt idx="41">
                  <c:v>15.811244</c:v>
                </c:pt>
                <c:pt idx="42">
                  <c:v>13.354037</c:v>
                </c:pt>
                <c:pt idx="43">
                  <c:v>7.098598</c:v>
                </c:pt>
                <c:pt idx="44">
                  <c:v>10.246392999999999</c:v>
                </c:pt>
                <c:pt idx="45">
                  <c:v>10.671988000000001</c:v>
                </c:pt>
                <c:pt idx="46">
                  <c:v>9.4192940000000007</c:v>
                </c:pt>
                <c:pt idx="47">
                  <c:v>9.4674739999999993</c:v>
                </c:pt>
                <c:pt idx="48">
                  <c:v>12.607239</c:v>
                </c:pt>
                <c:pt idx="49">
                  <c:v>14.478249</c:v>
                </c:pt>
                <c:pt idx="50">
                  <c:v>10.696078</c:v>
                </c:pt>
                <c:pt idx="51">
                  <c:v>11.434846</c:v>
                </c:pt>
                <c:pt idx="52">
                  <c:v>10.431084999999999</c:v>
                </c:pt>
                <c:pt idx="53">
                  <c:v>10.439114999999999</c:v>
                </c:pt>
                <c:pt idx="54">
                  <c:v>10.374874</c:v>
                </c:pt>
                <c:pt idx="55">
                  <c:v>12.486788000000001</c:v>
                </c:pt>
                <c:pt idx="56">
                  <c:v>11.627568</c:v>
                </c:pt>
                <c:pt idx="57">
                  <c:v>10.647897</c:v>
                </c:pt>
                <c:pt idx="58">
                  <c:v>11.169853</c:v>
                </c:pt>
                <c:pt idx="59">
                  <c:v>12.141494</c:v>
                </c:pt>
                <c:pt idx="60">
                  <c:v>12.302096000000001</c:v>
                </c:pt>
                <c:pt idx="61">
                  <c:v>10.8888</c:v>
                </c:pt>
                <c:pt idx="62">
                  <c:v>9.0418800000000008</c:v>
                </c:pt>
                <c:pt idx="63">
                  <c:v>10.615777</c:v>
                </c:pt>
                <c:pt idx="64">
                  <c:v>9.5477749999999997</c:v>
                </c:pt>
                <c:pt idx="65">
                  <c:v>10.198212</c:v>
                </c:pt>
                <c:pt idx="66">
                  <c:v>10.961071</c:v>
                </c:pt>
                <c:pt idx="67">
                  <c:v>10.832589</c:v>
                </c:pt>
                <c:pt idx="68">
                  <c:v>9.6521659999999994</c:v>
                </c:pt>
                <c:pt idx="69">
                  <c:v>9.6749960000000002</c:v>
                </c:pt>
                <c:pt idx="70">
                  <c:v>10.383329</c:v>
                </c:pt>
                <c:pt idx="71">
                  <c:v>9.8666630000000008</c:v>
                </c:pt>
                <c:pt idx="72">
                  <c:v>9.3833300000000008</c:v>
                </c:pt>
                <c:pt idx="73">
                  <c:v>9.5749960000000005</c:v>
                </c:pt>
                <c:pt idx="74">
                  <c:v>9.1333300000000008</c:v>
                </c:pt>
                <c:pt idx="75">
                  <c:v>8.1666629999999998</c:v>
                </c:pt>
                <c:pt idx="76">
                  <c:v>7.6166640000000001</c:v>
                </c:pt>
                <c:pt idx="77">
                  <c:v>6.1833309999999999</c:v>
                </c:pt>
                <c:pt idx="78">
                  <c:v>6.8583309999999997</c:v>
                </c:pt>
                <c:pt idx="79">
                  <c:v>6.2416640000000001</c:v>
                </c:pt>
                <c:pt idx="80">
                  <c:v>6.2333309999999997</c:v>
                </c:pt>
                <c:pt idx="81">
                  <c:v>6.9499969999999998</c:v>
                </c:pt>
                <c:pt idx="82">
                  <c:v>7.6166640000000001</c:v>
                </c:pt>
                <c:pt idx="83">
                  <c:v>7.4583300000000001</c:v>
                </c:pt>
                <c:pt idx="84">
                  <c:v>6.5499970000000003</c:v>
                </c:pt>
                <c:pt idx="85">
                  <c:v>6.4166639999999999</c:v>
                </c:pt>
                <c:pt idx="86">
                  <c:v>6.4833309999999997</c:v>
                </c:pt>
                <c:pt idx="87">
                  <c:v>5.5666640000000003</c:v>
                </c:pt>
                <c:pt idx="88">
                  <c:v>5.5083310000000001</c:v>
                </c:pt>
                <c:pt idx="89">
                  <c:v>5.3833310000000001</c:v>
                </c:pt>
                <c:pt idx="90">
                  <c:v>5.9999979999999997</c:v>
                </c:pt>
                <c:pt idx="91">
                  <c:v>6.1916640000000003</c:v>
                </c:pt>
                <c:pt idx="92">
                  <c:v>6.0833310000000003</c:v>
                </c:pt>
                <c:pt idx="93">
                  <c:v>7.2666639999999996</c:v>
                </c:pt>
                <c:pt idx="94">
                  <c:v>7.0749969999999998</c:v>
                </c:pt>
                <c:pt idx="95">
                  <c:v>8.8833300000000008</c:v>
                </c:pt>
                <c:pt idx="96">
                  <c:v>7.9083300000000003</c:v>
                </c:pt>
                <c:pt idx="97">
                  <c:v>8.4416630000000001</c:v>
                </c:pt>
                <c:pt idx="98">
                  <c:v>8.3666630000000008</c:v>
                </c:pt>
                <c:pt idx="99">
                  <c:v>8.1916630000000001</c:v>
                </c:pt>
                <c:pt idx="100">
                  <c:v>9.0499960000000002</c:v>
                </c:pt>
                <c:pt idx="101">
                  <c:v>10.058329000000001</c:v>
                </c:pt>
                <c:pt idx="102">
                  <c:v>9.4499960000000005</c:v>
                </c:pt>
                <c:pt idx="103">
                  <c:v>9.5416629999999998</c:v>
                </c:pt>
                <c:pt idx="104">
                  <c:v>11.074996000000001</c:v>
                </c:pt>
                <c:pt idx="105">
                  <c:v>10.174996</c:v>
                </c:pt>
                <c:pt idx="106">
                  <c:v>10.849996000000001</c:v>
                </c:pt>
                <c:pt idx="107">
                  <c:v>9.9916630000000008</c:v>
                </c:pt>
                <c:pt idx="108">
                  <c:v>9.3833300000000008</c:v>
                </c:pt>
                <c:pt idx="109">
                  <c:v>9.0833300000000001</c:v>
                </c:pt>
                <c:pt idx="110">
                  <c:v>9.0749960000000005</c:v>
                </c:pt>
                <c:pt idx="111">
                  <c:v>8.1249970000000005</c:v>
                </c:pt>
                <c:pt idx="112">
                  <c:v>8.8666630000000008</c:v>
                </c:pt>
                <c:pt idx="113">
                  <c:v>7.4499969999999998</c:v>
                </c:pt>
                <c:pt idx="114">
                  <c:v>7.0416639999999999</c:v>
                </c:pt>
                <c:pt idx="115">
                  <c:v>6.2333309999999997</c:v>
                </c:pt>
                <c:pt idx="116">
                  <c:v>5.5916639999999997</c:v>
                </c:pt>
                <c:pt idx="117">
                  <c:v>5.5333310000000004</c:v>
                </c:pt>
                <c:pt idx="118">
                  <c:v>5.7749980000000001</c:v>
                </c:pt>
                <c:pt idx="119">
                  <c:v>5.0999980000000003</c:v>
                </c:pt>
                <c:pt idx="120">
                  <c:v>5.2083310000000003</c:v>
                </c:pt>
                <c:pt idx="121">
                  <c:v>5.3499980000000003</c:v>
                </c:pt>
                <c:pt idx="122">
                  <c:v>5.8749979999999997</c:v>
                </c:pt>
                <c:pt idx="123">
                  <c:v>6.2916639999999999</c:v>
                </c:pt>
                <c:pt idx="124">
                  <c:v>5.6666639999999999</c:v>
                </c:pt>
                <c:pt idx="125">
                  <c:v>5.3999980000000001</c:v>
                </c:pt>
                <c:pt idx="126">
                  <c:v>5.2583310000000001</c:v>
                </c:pt>
                <c:pt idx="127">
                  <c:v>3.958332</c:v>
                </c:pt>
                <c:pt idx="128">
                  <c:v>3.6249989999999999</c:v>
                </c:pt>
                <c:pt idx="129">
                  <c:v>2.0833330000000001</c:v>
                </c:pt>
                <c:pt idx="130">
                  <c:v>2.1083319999999999</c:v>
                </c:pt>
                <c:pt idx="131">
                  <c:v>2.2249989999999999</c:v>
                </c:pt>
                <c:pt idx="132">
                  <c:v>2.8833319999999998</c:v>
                </c:pt>
                <c:pt idx="133">
                  <c:v>2.1749990000000001</c:v>
                </c:pt>
                <c:pt idx="134">
                  <c:v>2.0249990000000002</c:v>
                </c:pt>
                <c:pt idx="135">
                  <c:v>2.1666660000000002</c:v>
                </c:pt>
                <c:pt idx="136">
                  <c:v>1.9083330000000001</c:v>
                </c:pt>
                <c:pt idx="137">
                  <c:v>2.1833320000000001</c:v>
                </c:pt>
                <c:pt idx="138">
                  <c:v>2.0833330000000001</c:v>
                </c:pt>
                <c:pt idx="139">
                  <c:v>2.4999989999999999</c:v>
                </c:pt>
                <c:pt idx="140">
                  <c:v>2.5166659999999998</c:v>
                </c:pt>
                <c:pt idx="141">
                  <c:v>3.449999</c:v>
                </c:pt>
                <c:pt idx="142">
                  <c:v>3.1833320000000001</c:v>
                </c:pt>
                <c:pt idx="143">
                  <c:v>3.8499979999999998</c:v>
                </c:pt>
                <c:pt idx="144">
                  <c:v>3.324999</c:v>
                </c:pt>
                <c:pt idx="145">
                  <c:v>3.1666650000000001</c:v>
                </c:pt>
                <c:pt idx="146">
                  <c:v>3.3833319999999998</c:v>
                </c:pt>
                <c:pt idx="147">
                  <c:v>3.2249989999999999</c:v>
                </c:pt>
                <c:pt idx="148">
                  <c:v>3.3083320000000001</c:v>
                </c:pt>
                <c:pt idx="149">
                  <c:v>3.0249990000000002</c:v>
                </c:pt>
                <c:pt idx="150">
                  <c:v>3.3666649999999998</c:v>
                </c:pt>
                <c:pt idx="151">
                  <c:v>3.3499989999999999</c:v>
                </c:pt>
                <c:pt idx="152">
                  <c:v>3.3916650000000002</c:v>
                </c:pt>
                <c:pt idx="153">
                  <c:v>3.1666650000000001</c:v>
                </c:pt>
                <c:pt idx="154">
                  <c:v>3.199999</c:v>
                </c:pt>
                <c:pt idx="155">
                  <c:v>3.0499990000000001</c:v>
                </c:pt>
                <c:pt idx="156">
                  <c:v>2.9916649999999998</c:v>
                </c:pt>
                <c:pt idx="157">
                  <c:v>3.6583320000000001</c:v>
                </c:pt>
                <c:pt idx="158">
                  <c:v>4.0083320000000002</c:v>
                </c:pt>
                <c:pt idx="159">
                  <c:v>3.7499989999999999</c:v>
                </c:pt>
                <c:pt idx="160">
                  <c:v>3.5499990000000001</c:v>
                </c:pt>
                <c:pt idx="161">
                  <c:v>3.4333320000000001</c:v>
                </c:pt>
                <c:pt idx="162">
                  <c:v>3.1749990000000001</c:v>
                </c:pt>
                <c:pt idx="163">
                  <c:v>2.8666659999999999</c:v>
                </c:pt>
                <c:pt idx="164">
                  <c:v>2.6499990000000002</c:v>
                </c:pt>
                <c:pt idx="165">
                  <c:v>2.449999</c:v>
                </c:pt>
                <c:pt idx="166">
                  <c:v>2.1916660000000001</c:v>
                </c:pt>
                <c:pt idx="167">
                  <c:v>2.3499989999999999</c:v>
                </c:pt>
                <c:pt idx="168">
                  <c:v>2.6499990000000002</c:v>
                </c:pt>
                <c:pt idx="169">
                  <c:v>2.4916659999999999</c:v>
                </c:pt>
                <c:pt idx="170">
                  <c:v>2.7583319999999998</c:v>
                </c:pt>
                <c:pt idx="171">
                  <c:v>2.7583319999999998</c:v>
                </c:pt>
                <c:pt idx="172">
                  <c:v>2.8083320000000001</c:v>
                </c:pt>
                <c:pt idx="173">
                  <c:v>2.8166660000000001</c:v>
                </c:pt>
                <c:pt idx="174">
                  <c:v>3.0583320000000001</c:v>
                </c:pt>
                <c:pt idx="175">
                  <c:v>2.8999990000000002</c:v>
                </c:pt>
                <c:pt idx="176">
                  <c:v>2.591666</c:v>
                </c:pt>
                <c:pt idx="177">
                  <c:v>2.199999</c:v>
                </c:pt>
                <c:pt idx="178">
                  <c:v>1.824999</c:v>
                </c:pt>
                <c:pt idx="179">
                  <c:v>1.233333</c:v>
                </c:pt>
                <c:pt idx="180">
                  <c:v>1.5666659999999999</c:v>
                </c:pt>
                <c:pt idx="181">
                  <c:v>1.1333329999999999</c:v>
                </c:pt>
                <c:pt idx="182">
                  <c:v>1.25</c:v>
                </c:pt>
                <c:pt idx="183">
                  <c:v>1.1583330000000001</c:v>
                </c:pt>
                <c:pt idx="184">
                  <c:v>1.216666</c:v>
                </c:pt>
                <c:pt idx="185">
                  <c:v>1.175</c:v>
                </c:pt>
                <c:pt idx="186">
                  <c:v>1.1333329999999999</c:v>
                </c:pt>
                <c:pt idx="187">
                  <c:v>1.3916660000000001</c:v>
                </c:pt>
                <c:pt idx="188">
                  <c:v>1.608333</c:v>
                </c:pt>
                <c:pt idx="189">
                  <c:v>1.8166659999999999</c:v>
                </c:pt>
                <c:pt idx="190">
                  <c:v>2.5333320000000001</c:v>
                </c:pt>
                <c:pt idx="191">
                  <c:v>2.4916659999999999</c:v>
                </c:pt>
                <c:pt idx="192">
                  <c:v>3.1166649999999998</c:v>
                </c:pt>
                <c:pt idx="193">
                  <c:v>3.7249989999999999</c:v>
                </c:pt>
                <c:pt idx="194">
                  <c:v>4.3416649999999999</c:v>
                </c:pt>
                <c:pt idx="195">
                  <c:v>3.6166649999999998</c:v>
                </c:pt>
                <c:pt idx="196">
                  <c:v>4.1416649999999997</c:v>
                </c:pt>
                <c:pt idx="197">
                  <c:v>4.7666649999999997</c:v>
                </c:pt>
                <c:pt idx="198">
                  <c:v>4.1749980000000004</c:v>
                </c:pt>
                <c:pt idx="199">
                  <c:v>4.2</c:v>
                </c:pt>
                <c:pt idx="200">
                  <c:v>3.89</c:v>
                </c:pt>
                <c:pt idx="201">
                  <c:v>3.55</c:v>
                </c:pt>
                <c:pt idx="202">
                  <c:v>4.9800000000000004</c:v>
                </c:pt>
                <c:pt idx="203">
                  <c:v>5.4</c:v>
                </c:pt>
                <c:pt idx="204">
                  <c:v>4.66</c:v>
                </c:pt>
                <c:pt idx="205">
                  <c:v>6.34</c:v>
                </c:pt>
                <c:pt idx="206">
                  <c:v>4.79</c:v>
                </c:pt>
                <c:pt idx="207">
                  <c:v>5.65</c:v>
                </c:pt>
                <c:pt idx="208">
                  <c:v>4.8499999999999996</c:v>
                </c:pt>
                <c:pt idx="209">
                  <c:v>3.61</c:v>
                </c:pt>
                <c:pt idx="210">
                  <c:v>4.32</c:v>
                </c:pt>
                <c:pt idx="211">
                  <c:v>3.57</c:v>
                </c:pt>
                <c:pt idx="212">
                  <c:v>3.59</c:v>
                </c:pt>
              </c:numCache>
            </c:numRef>
          </c:val>
          <c:smooth val="0"/>
          <c:extLst>
            <c:ext xmlns:c16="http://schemas.microsoft.com/office/drawing/2014/chart" uri="{C3380CC4-5D6E-409C-BE32-E72D297353CC}">
              <c16:uniqueId val="{00000000-157A-44F8-8383-949F88FD5E9D}"/>
            </c:ext>
          </c:extLst>
        </c:ser>
        <c:dLbls>
          <c:showLegendKey val="0"/>
          <c:showVal val="0"/>
          <c:showCatName val="0"/>
          <c:showSerName val="0"/>
          <c:showPercent val="0"/>
          <c:showBubbleSize val="0"/>
        </c:dLbls>
        <c:smooth val="0"/>
        <c:axId val="1367020319"/>
        <c:axId val="1367024479"/>
      </c:lineChart>
      <c:dateAx>
        <c:axId val="1367020319"/>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7024479"/>
        <c:crosses val="autoZero"/>
        <c:auto val="1"/>
        <c:lblOffset val="100"/>
        <c:baseTimeUnit val="months"/>
      </c:dateAx>
      <c:valAx>
        <c:axId val="1367024479"/>
        <c:scaling>
          <c:orientation val="minMax"/>
        </c:scaling>
        <c:delete val="0"/>
        <c:axPos val="l"/>
        <c:majorGridlines>
          <c:spPr>
            <a:ln w="9525" cap="flat" cmpd="sng" algn="ctr">
              <a:solidFill>
                <a:schemeClr val="tx1">
                  <a:lumMod val="15000"/>
                  <a:lumOff val="85000"/>
                </a:schemeClr>
              </a:solidFill>
              <a:round/>
            </a:ln>
            <a:effectLst/>
          </c:spPr>
        </c:majorGridlines>
        <c:numFmt formatCode="#,##0.00;\-#,##0.00;#,##0.00;&quot;--&quot;"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702031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solidFill>
                  <a:schemeClr val="accent6"/>
                </a:solidFill>
              </a:rPr>
              <a:t>SG&amp;A Expenses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Pt>
            <c:idx val="9"/>
            <c:invertIfNegative val="0"/>
            <c:bubble3D val="0"/>
            <c:spPr>
              <a:solidFill>
                <a:schemeClr val="accent6"/>
              </a:solidFill>
              <a:ln>
                <a:noFill/>
              </a:ln>
              <a:effectLst/>
            </c:spPr>
            <c:extLst>
              <c:ext xmlns:c16="http://schemas.microsoft.com/office/drawing/2014/chart" uri="{C3380CC4-5D6E-409C-BE32-E72D297353CC}">
                <c16:uniqueId val="{00000001-2996-2642-B957-3E1E395F05E7}"/>
              </c:ext>
            </c:extLst>
          </c:dPt>
          <c:dPt>
            <c:idx val="10"/>
            <c:invertIfNegative val="0"/>
            <c:bubble3D val="0"/>
            <c:spPr>
              <a:solidFill>
                <a:schemeClr val="accent6"/>
              </a:solidFill>
              <a:ln>
                <a:noFill/>
              </a:ln>
              <a:effectLst/>
            </c:spPr>
            <c:extLst>
              <c:ext xmlns:c16="http://schemas.microsoft.com/office/drawing/2014/chart" uri="{C3380CC4-5D6E-409C-BE32-E72D297353CC}">
                <c16:uniqueId val="{00000003-2996-2642-B957-3E1E395F05E7}"/>
              </c:ext>
            </c:extLst>
          </c:dPt>
          <c:dPt>
            <c:idx val="11"/>
            <c:invertIfNegative val="0"/>
            <c:bubble3D val="0"/>
            <c:spPr>
              <a:solidFill>
                <a:schemeClr val="accent6"/>
              </a:solidFill>
              <a:ln>
                <a:noFill/>
              </a:ln>
              <a:effectLst/>
            </c:spPr>
            <c:extLst>
              <c:ext xmlns:c16="http://schemas.microsoft.com/office/drawing/2014/chart" uri="{C3380CC4-5D6E-409C-BE32-E72D297353CC}">
                <c16:uniqueId val="{00000005-2996-2642-B957-3E1E395F05E7}"/>
              </c:ext>
            </c:extLst>
          </c:dPt>
          <c:dPt>
            <c:idx val="12"/>
            <c:invertIfNegative val="0"/>
            <c:bubble3D val="0"/>
            <c:spPr>
              <a:solidFill>
                <a:schemeClr val="accent6"/>
              </a:solidFill>
              <a:ln>
                <a:noFill/>
              </a:ln>
              <a:effectLst/>
            </c:spPr>
            <c:extLst>
              <c:ext xmlns:c16="http://schemas.microsoft.com/office/drawing/2014/chart" uri="{C3380CC4-5D6E-409C-BE32-E72D297353CC}">
                <c16:uniqueId val="{00000007-2996-2642-B957-3E1E395F05E7}"/>
              </c:ext>
            </c:extLst>
          </c:dPt>
          <c:dPt>
            <c:idx val="13"/>
            <c:invertIfNegative val="0"/>
            <c:bubble3D val="0"/>
            <c:spPr>
              <a:solidFill>
                <a:schemeClr val="accent6"/>
              </a:solidFill>
              <a:ln>
                <a:noFill/>
              </a:ln>
              <a:effectLst/>
            </c:spPr>
            <c:extLst>
              <c:ext xmlns:c16="http://schemas.microsoft.com/office/drawing/2014/chart" uri="{C3380CC4-5D6E-409C-BE32-E72D297353CC}">
                <c16:uniqueId val="{00000009-2996-2642-B957-3E1E395F05E7}"/>
              </c:ext>
            </c:extLst>
          </c:dPt>
          <c:dPt>
            <c:idx val="14"/>
            <c:invertIfNegative val="0"/>
            <c:bubble3D val="0"/>
            <c:spPr>
              <a:solidFill>
                <a:schemeClr val="accent6"/>
              </a:solidFill>
              <a:ln>
                <a:noFill/>
              </a:ln>
              <a:effectLst/>
            </c:spPr>
            <c:extLst>
              <c:ext xmlns:c16="http://schemas.microsoft.com/office/drawing/2014/chart" uri="{C3380CC4-5D6E-409C-BE32-E72D297353CC}">
                <c16:uniqueId val="{0000000B-2996-2642-B957-3E1E395F05E7}"/>
              </c:ext>
            </c:extLst>
          </c:dPt>
          <c:cat>
            <c:strRef>
              <c:f>'10yr data'!$E$4:$S$4</c:f>
              <c:strCache>
                <c:ptCount val="15"/>
                <c:pt idx="0">
                  <c:v>2014</c:v>
                </c:pt>
                <c:pt idx="1">
                  <c:v>2015</c:v>
                </c:pt>
                <c:pt idx="2">
                  <c:v>2016</c:v>
                </c:pt>
                <c:pt idx="3">
                  <c:v>2017</c:v>
                </c:pt>
                <c:pt idx="4">
                  <c:v>2018</c:v>
                </c:pt>
                <c:pt idx="5">
                  <c:v>2019</c:v>
                </c:pt>
                <c:pt idx="6">
                  <c:v>2020</c:v>
                </c:pt>
                <c:pt idx="7">
                  <c:v>2021</c:v>
                </c:pt>
                <c:pt idx="8">
                  <c:v>2022 YTD</c:v>
                </c:pt>
                <c:pt idx="9">
                  <c:v>2022E</c:v>
                </c:pt>
                <c:pt idx="10">
                  <c:v>2023E</c:v>
                </c:pt>
                <c:pt idx="11">
                  <c:v>2024E</c:v>
                </c:pt>
                <c:pt idx="12">
                  <c:v>2025E</c:v>
                </c:pt>
                <c:pt idx="13">
                  <c:v>2026E</c:v>
                </c:pt>
                <c:pt idx="14">
                  <c:v>2027E</c:v>
                </c:pt>
              </c:strCache>
            </c:strRef>
          </c:cat>
          <c:val>
            <c:numRef>
              <c:f>'10yr data'!$E$8:$S$8</c:f>
              <c:numCache>
                <c:formatCode>0.00</c:formatCode>
                <c:ptCount val="15"/>
                <c:pt idx="0">
                  <c:v>26.216999999999999</c:v>
                </c:pt>
                <c:pt idx="1">
                  <c:v>25.783999999999999</c:v>
                </c:pt>
                <c:pt idx="2">
                  <c:v>25.5</c:v>
                </c:pt>
                <c:pt idx="3">
                  <c:v>37.438000000000002</c:v>
                </c:pt>
                <c:pt idx="4">
                  <c:v>31.369999999999997</c:v>
                </c:pt>
                <c:pt idx="5">
                  <c:v>40.256</c:v>
                </c:pt>
                <c:pt idx="6">
                  <c:v>34.564999999999998</c:v>
                </c:pt>
                <c:pt idx="7">
                  <c:v>31.225999999999999</c:v>
                </c:pt>
                <c:pt idx="8">
                  <c:v>28.014000000000003</c:v>
                </c:pt>
                <c:pt idx="9">
                  <c:v>34.38919210286609</c:v>
                </c:pt>
                <c:pt idx="10" formatCode="General">
                  <c:v>35.590822790806122</c:v>
                </c:pt>
                <c:pt idx="11" formatCode="General">
                  <c:v>36.834440981851209</c:v>
                </c:pt>
                <c:pt idx="12" formatCode="General">
                  <c:v>38.121513807653933</c:v>
                </c:pt>
                <c:pt idx="13" formatCode="General">
                  <c:v>39.453559664532001</c:v>
                </c:pt>
                <c:pt idx="14" formatCode="General">
                  <c:v>40.832150004763449</c:v>
                </c:pt>
              </c:numCache>
            </c:numRef>
          </c:val>
          <c:extLst>
            <c:ext xmlns:c16="http://schemas.microsoft.com/office/drawing/2014/chart" uri="{C3380CC4-5D6E-409C-BE32-E72D297353CC}">
              <c16:uniqueId val="{0000000C-2996-2642-B957-3E1E395F05E7}"/>
            </c:ext>
          </c:extLst>
        </c:ser>
        <c:dLbls>
          <c:showLegendKey val="0"/>
          <c:showVal val="0"/>
          <c:showCatName val="0"/>
          <c:showSerName val="0"/>
          <c:showPercent val="0"/>
          <c:showBubbleSize val="0"/>
        </c:dLbls>
        <c:gapWidth val="219"/>
        <c:overlap val="-27"/>
        <c:axId val="814566303"/>
        <c:axId val="814567951"/>
      </c:barChart>
      <c:catAx>
        <c:axId val="8145663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4567951"/>
        <c:crosses val="autoZero"/>
        <c:auto val="1"/>
        <c:lblAlgn val="ctr"/>
        <c:lblOffset val="100"/>
        <c:noMultiLvlLbl val="0"/>
      </c:catAx>
      <c:valAx>
        <c:axId val="81456795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456630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solidFill>
                  <a:schemeClr val="accent6"/>
                </a:solidFill>
              </a:rPr>
              <a:t>Depreciation Forecast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Pt>
            <c:idx val="8"/>
            <c:invertIfNegative val="0"/>
            <c:bubble3D val="0"/>
            <c:spPr>
              <a:solidFill>
                <a:schemeClr val="accent6"/>
              </a:solidFill>
              <a:ln>
                <a:noFill/>
              </a:ln>
              <a:effectLst/>
            </c:spPr>
            <c:extLst>
              <c:ext xmlns:c16="http://schemas.microsoft.com/office/drawing/2014/chart" uri="{C3380CC4-5D6E-409C-BE32-E72D297353CC}">
                <c16:uniqueId val="{00000001-853A-47D5-9BF7-50D36DA1070F}"/>
              </c:ext>
            </c:extLst>
          </c:dPt>
          <c:dPt>
            <c:idx val="9"/>
            <c:invertIfNegative val="0"/>
            <c:bubble3D val="0"/>
            <c:spPr>
              <a:solidFill>
                <a:schemeClr val="accent6"/>
              </a:solidFill>
              <a:ln>
                <a:noFill/>
              </a:ln>
              <a:effectLst/>
            </c:spPr>
            <c:extLst>
              <c:ext xmlns:c16="http://schemas.microsoft.com/office/drawing/2014/chart" uri="{C3380CC4-5D6E-409C-BE32-E72D297353CC}">
                <c16:uniqueId val="{00000003-853A-47D5-9BF7-50D36DA1070F}"/>
              </c:ext>
            </c:extLst>
          </c:dPt>
          <c:dPt>
            <c:idx val="10"/>
            <c:invertIfNegative val="0"/>
            <c:bubble3D val="0"/>
            <c:spPr>
              <a:solidFill>
                <a:schemeClr val="accent6"/>
              </a:solidFill>
              <a:ln>
                <a:noFill/>
              </a:ln>
              <a:effectLst/>
            </c:spPr>
            <c:extLst>
              <c:ext xmlns:c16="http://schemas.microsoft.com/office/drawing/2014/chart" uri="{C3380CC4-5D6E-409C-BE32-E72D297353CC}">
                <c16:uniqueId val="{00000005-853A-47D5-9BF7-50D36DA1070F}"/>
              </c:ext>
            </c:extLst>
          </c:dPt>
          <c:dPt>
            <c:idx val="11"/>
            <c:invertIfNegative val="0"/>
            <c:bubble3D val="0"/>
            <c:spPr>
              <a:solidFill>
                <a:schemeClr val="accent6"/>
              </a:solidFill>
              <a:ln>
                <a:noFill/>
              </a:ln>
              <a:effectLst/>
            </c:spPr>
            <c:extLst>
              <c:ext xmlns:c16="http://schemas.microsoft.com/office/drawing/2014/chart" uri="{C3380CC4-5D6E-409C-BE32-E72D297353CC}">
                <c16:uniqueId val="{00000007-853A-47D5-9BF7-50D36DA1070F}"/>
              </c:ext>
            </c:extLst>
          </c:dPt>
          <c:dPt>
            <c:idx val="12"/>
            <c:invertIfNegative val="0"/>
            <c:bubble3D val="0"/>
            <c:spPr>
              <a:solidFill>
                <a:schemeClr val="accent6"/>
              </a:solidFill>
              <a:ln>
                <a:noFill/>
              </a:ln>
              <a:effectLst/>
            </c:spPr>
            <c:extLst>
              <c:ext xmlns:c16="http://schemas.microsoft.com/office/drawing/2014/chart" uri="{C3380CC4-5D6E-409C-BE32-E72D297353CC}">
                <c16:uniqueId val="{00000009-853A-47D5-9BF7-50D36DA1070F}"/>
              </c:ext>
            </c:extLst>
          </c:dPt>
          <c:dPt>
            <c:idx val="13"/>
            <c:invertIfNegative val="0"/>
            <c:bubble3D val="0"/>
            <c:spPr>
              <a:solidFill>
                <a:schemeClr val="accent6"/>
              </a:solidFill>
              <a:ln>
                <a:noFill/>
              </a:ln>
              <a:effectLst/>
            </c:spPr>
            <c:extLst>
              <c:ext xmlns:c16="http://schemas.microsoft.com/office/drawing/2014/chart" uri="{C3380CC4-5D6E-409C-BE32-E72D297353CC}">
                <c16:uniqueId val="{0000000B-853A-47D5-9BF7-50D36DA1070F}"/>
              </c:ext>
            </c:extLst>
          </c:dPt>
          <c:cat>
            <c:strRef>
              <c:f>'10yr data'!$F$4:$S$4</c:f>
              <c:strCache>
                <c:ptCount val="14"/>
                <c:pt idx="0">
                  <c:v>2015</c:v>
                </c:pt>
                <c:pt idx="1">
                  <c:v>2016</c:v>
                </c:pt>
                <c:pt idx="2">
                  <c:v>2017</c:v>
                </c:pt>
                <c:pt idx="3">
                  <c:v>2018</c:v>
                </c:pt>
                <c:pt idx="4">
                  <c:v>2019</c:v>
                </c:pt>
                <c:pt idx="5">
                  <c:v>2020</c:v>
                </c:pt>
                <c:pt idx="6">
                  <c:v>2021</c:v>
                </c:pt>
                <c:pt idx="7">
                  <c:v>2022 YTD</c:v>
                </c:pt>
                <c:pt idx="8">
                  <c:v>2022E</c:v>
                </c:pt>
                <c:pt idx="9">
                  <c:v>2023E</c:v>
                </c:pt>
                <c:pt idx="10">
                  <c:v>2024E</c:v>
                </c:pt>
                <c:pt idx="11">
                  <c:v>2025E</c:v>
                </c:pt>
                <c:pt idx="12">
                  <c:v>2026E</c:v>
                </c:pt>
                <c:pt idx="13">
                  <c:v>2027E</c:v>
                </c:pt>
              </c:strCache>
            </c:strRef>
          </c:cat>
          <c:val>
            <c:numRef>
              <c:f>'10yr data'!$F$9:$S$9</c:f>
              <c:numCache>
                <c:formatCode>0.00</c:formatCode>
                <c:ptCount val="14"/>
                <c:pt idx="0">
                  <c:v>76.332999999999998</c:v>
                </c:pt>
                <c:pt idx="1">
                  <c:v>81.599999999999994</c:v>
                </c:pt>
                <c:pt idx="2">
                  <c:v>87.001999999999995</c:v>
                </c:pt>
                <c:pt idx="3">
                  <c:v>52.204999999999998</c:v>
                </c:pt>
                <c:pt idx="4">
                  <c:v>48.904000000000003</c:v>
                </c:pt>
                <c:pt idx="5">
                  <c:v>42.991999999999997</c:v>
                </c:pt>
                <c:pt idx="6">
                  <c:v>40.492999999999995</c:v>
                </c:pt>
                <c:pt idx="7">
                  <c:v>31.097999999999999</c:v>
                </c:pt>
                <c:pt idx="8" formatCode="General">
                  <c:v>43.869862464183385</c:v>
                </c:pt>
                <c:pt idx="9" formatCode="General">
                  <c:v>55.132726867595515</c:v>
                </c:pt>
                <c:pt idx="10" formatCode="General">
                  <c:v>58.979196183939386</c:v>
                </c:pt>
                <c:pt idx="11" formatCode="General">
                  <c:v>61.543509061501965</c:v>
                </c:pt>
                <c:pt idx="12" formatCode="General">
                  <c:v>62.82566550028325</c:v>
                </c:pt>
                <c:pt idx="13" formatCode="General">
                  <c:v>64.10782193906455</c:v>
                </c:pt>
              </c:numCache>
            </c:numRef>
          </c:val>
          <c:extLst>
            <c:ext xmlns:c16="http://schemas.microsoft.com/office/drawing/2014/chart" uri="{C3380CC4-5D6E-409C-BE32-E72D297353CC}">
              <c16:uniqueId val="{0000000C-853A-47D5-9BF7-50D36DA1070F}"/>
            </c:ext>
          </c:extLst>
        </c:ser>
        <c:dLbls>
          <c:showLegendKey val="0"/>
          <c:showVal val="0"/>
          <c:showCatName val="0"/>
          <c:showSerName val="0"/>
          <c:showPercent val="0"/>
          <c:showBubbleSize val="0"/>
        </c:dLbls>
        <c:gapWidth val="219"/>
        <c:overlap val="-27"/>
        <c:axId val="808137007"/>
        <c:axId val="807805119"/>
      </c:barChart>
      <c:catAx>
        <c:axId val="808137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7805119"/>
        <c:crosses val="autoZero"/>
        <c:auto val="1"/>
        <c:lblAlgn val="ctr"/>
        <c:lblOffset val="100"/>
        <c:noMultiLvlLbl val="0"/>
      </c:catAx>
      <c:valAx>
        <c:axId val="80780511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81370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solidFill>
                  <a:schemeClr val="accent6"/>
                </a:solidFill>
              </a:rPr>
              <a:t>EBIT Forecasts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Pt>
            <c:idx val="8"/>
            <c:invertIfNegative val="0"/>
            <c:bubble3D val="0"/>
            <c:spPr>
              <a:solidFill>
                <a:schemeClr val="accent6"/>
              </a:solidFill>
              <a:ln>
                <a:noFill/>
              </a:ln>
              <a:effectLst/>
            </c:spPr>
            <c:extLst>
              <c:ext xmlns:c16="http://schemas.microsoft.com/office/drawing/2014/chart" uri="{C3380CC4-5D6E-409C-BE32-E72D297353CC}">
                <c16:uniqueId val="{00000001-385A-4355-BCAE-F3EC74B44A56}"/>
              </c:ext>
            </c:extLst>
          </c:dPt>
          <c:dPt>
            <c:idx val="9"/>
            <c:invertIfNegative val="0"/>
            <c:bubble3D val="0"/>
            <c:spPr>
              <a:solidFill>
                <a:schemeClr val="accent6"/>
              </a:solidFill>
              <a:ln>
                <a:noFill/>
              </a:ln>
              <a:effectLst/>
            </c:spPr>
            <c:extLst>
              <c:ext xmlns:c16="http://schemas.microsoft.com/office/drawing/2014/chart" uri="{C3380CC4-5D6E-409C-BE32-E72D297353CC}">
                <c16:uniqueId val="{00000003-385A-4355-BCAE-F3EC74B44A56}"/>
              </c:ext>
            </c:extLst>
          </c:dPt>
          <c:dPt>
            <c:idx val="10"/>
            <c:invertIfNegative val="0"/>
            <c:bubble3D val="0"/>
            <c:spPr>
              <a:solidFill>
                <a:schemeClr val="accent6"/>
              </a:solidFill>
              <a:ln>
                <a:noFill/>
              </a:ln>
              <a:effectLst/>
            </c:spPr>
            <c:extLst>
              <c:ext xmlns:c16="http://schemas.microsoft.com/office/drawing/2014/chart" uri="{C3380CC4-5D6E-409C-BE32-E72D297353CC}">
                <c16:uniqueId val="{00000005-385A-4355-BCAE-F3EC74B44A56}"/>
              </c:ext>
            </c:extLst>
          </c:dPt>
          <c:dPt>
            <c:idx val="11"/>
            <c:invertIfNegative val="0"/>
            <c:bubble3D val="0"/>
            <c:spPr>
              <a:solidFill>
                <a:schemeClr val="accent6"/>
              </a:solidFill>
              <a:ln>
                <a:noFill/>
              </a:ln>
              <a:effectLst/>
            </c:spPr>
            <c:extLst>
              <c:ext xmlns:c16="http://schemas.microsoft.com/office/drawing/2014/chart" uri="{C3380CC4-5D6E-409C-BE32-E72D297353CC}">
                <c16:uniqueId val="{00000007-385A-4355-BCAE-F3EC74B44A56}"/>
              </c:ext>
            </c:extLst>
          </c:dPt>
          <c:dPt>
            <c:idx val="12"/>
            <c:invertIfNegative val="0"/>
            <c:bubble3D val="0"/>
            <c:spPr>
              <a:solidFill>
                <a:schemeClr val="accent6"/>
              </a:solidFill>
              <a:ln>
                <a:noFill/>
              </a:ln>
              <a:effectLst/>
            </c:spPr>
            <c:extLst>
              <c:ext xmlns:c16="http://schemas.microsoft.com/office/drawing/2014/chart" uri="{C3380CC4-5D6E-409C-BE32-E72D297353CC}">
                <c16:uniqueId val="{00000009-385A-4355-BCAE-F3EC74B44A56}"/>
              </c:ext>
            </c:extLst>
          </c:dPt>
          <c:dPt>
            <c:idx val="13"/>
            <c:invertIfNegative val="0"/>
            <c:bubble3D val="0"/>
            <c:spPr>
              <a:solidFill>
                <a:schemeClr val="accent6"/>
              </a:solidFill>
              <a:ln>
                <a:noFill/>
              </a:ln>
              <a:effectLst/>
            </c:spPr>
            <c:extLst>
              <c:ext xmlns:c16="http://schemas.microsoft.com/office/drawing/2014/chart" uri="{C3380CC4-5D6E-409C-BE32-E72D297353CC}">
                <c16:uniqueId val="{0000000B-385A-4355-BCAE-F3EC74B44A56}"/>
              </c:ext>
            </c:extLst>
          </c:dPt>
          <c:cat>
            <c:strRef>
              <c:f>'10yr data'!$F$4:$S$4</c:f>
              <c:strCache>
                <c:ptCount val="14"/>
                <c:pt idx="0">
                  <c:v>2015</c:v>
                </c:pt>
                <c:pt idx="1">
                  <c:v>2016</c:v>
                </c:pt>
                <c:pt idx="2">
                  <c:v>2017</c:v>
                </c:pt>
                <c:pt idx="3">
                  <c:v>2018</c:v>
                </c:pt>
                <c:pt idx="4">
                  <c:v>2019</c:v>
                </c:pt>
                <c:pt idx="5">
                  <c:v>2020</c:v>
                </c:pt>
                <c:pt idx="6">
                  <c:v>2021</c:v>
                </c:pt>
                <c:pt idx="7">
                  <c:v>2022 YTD</c:v>
                </c:pt>
                <c:pt idx="8">
                  <c:v>2022E</c:v>
                </c:pt>
                <c:pt idx="9">
                  <c:v>2023E</c:v>
                </c:pt>
                <c:pt idx="10">
                  <c:v>2024E</c:v>
                </c:pt>
                <c:pt idx="11">
                  <c:v>2025E</c:v>
                </c:pt>
                <c:pt idx="12">
                  <c:v>2026E</c:v>
                </c:pt>
                <c:pt idx="13">
                  <c:v>2027E</c:v>
                </c:pt>
              </c:strCache>
            </c:strRef>
          </c:cat>
          <c:val>
            <c:numRef>
              <c:f>'10yr data'!$F$10:$S$10</c:f>
              <c:numCache>
                <c:formatCode>0.00</c:formatCode>
                <c:ptCount val="14"/>
                <c:pt idx="0">
                  <c:v>-48.205999999999996</c:v>
                </c:pt>
                <c:pt idx="1">
                  <c:v>-92.6</c:v>
                </c:pt>
                <c:pt idx="2">
                  <c:v>-61.519999999999996</c:v>
                </c:pt>
                <c:pt idx="3">
                  <c:v>39.698999999999998</c:v>
                </c:pt>
                <c:pt idx="4">
                  <c:v>27.426000000000009</c:v>
                </c:pt>
                <c:pt idx="5">
                  <c:v>-7.1969999999999814</c:v>
                </c:pt>
                <c:pt idx="6">
                  <c:v>62.156999999999982</c:v>
                </c:pt>
                <c:pt idx="7">
                  <c:v>107.89</c:v>
                </c:pt>
                <c:pt idx="8">
                  <c:v>104.57119665805713</c:v>
                </c:pt>
                <c:pt idx="9">
                  <c:v>82.128549726869295</c:v>
                </c:pt>
                <c:pt idx="10">
                  <c:v>36.55283349350433</c:v>
                </c:pt>
                <c:pt idx="11">
                  <c:v>44.142269409285802</c:v>
                </c:pt>
                <c:pt idx="12">
                  <c:v>57.366387243017513</c:v>
                </c:pt>
                <c:pt idx="13">
                  <c:v>66.427998163188633</c:v>
                </c:pt>
              </c:numCache>
            </c:numRef>
          </c:val>
          <c:extLst>
            <c:ext xmlns:c16="http://schemas.microsoft.com/office/drawing/2014/chart" uri="{C3380CC4-5D6E-409C-BE32-E72D297353CC}">
              <c16:uniqueId val="{0000000C-385A-4355-BCAE-F3EC74B44A56}"/>
            </c:ext>
          </c:extLst>
        </c:ser>
        <c:dLbls>
          <c:showLegendKey val="0"/>
          <c:showVal val="0"/>
          <c:showCatName val="0"/>
          <c:showSerName val="0"/>
          <c:showPercent val="0"/>
          <c:showBubbleSize val="0"/>
        </c:dLbls>
        <c:gapWidth val="219"/>
        <c:overlap val="-27"/>
        <c:axId val="814622479"/>
        <c:axId val="810449519"/>
      </c:barChart>
      <c:catAx>
        <c:axId val="814622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0449519"/>
        <c:crosses val="autoZero"/>
        <c:auto val="1"/>
        <c:lblAlgn val="ctr"/>
        <c:lblOffset val="100"/>
        <c:noMultiLvlLbl val="0"/>
      </c:catAx>
      <c:valAx>
        <c:axId val="81044951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46224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chemeClr val="accent6"/>
                </a:solidFill>
              </a:rPr>
              <a:t>Total Debt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tx>
            <c:strRef>
              <c:f>'[Diana SC.xlsx]Sheet3'!$H$1</c:f>
              <c:strCache>
                <c:ptCount val="1"/>
                <c:pt idx="0">
                  <c:v>Total Debt</c:v>
                </c:pt>
              </c:strCache>
            </c:strRef>
          </c:tx>
          <c:spPr>
            <a:ln w="28575" cap="rnd">
              <a:solidFill>
                <a:schemeClr val="accent1"/>
              </a:solidFill>
              <a:round/>
            </a:ln>
            <a:effectLst/>
          </c:spPr>
          <c:marker>
            <c:symbol val="none"/>
          </c:marker>
          <c:cat>
            <c:strRef>
              <c:f>'[Diana SC.xlsx]Sheet3'!$G$2:$G$39</c:f>
              <c:strCache>
                <c:ptCount val="38"/>
                <c:pt idx="0">
                  <c:v>Q1 2013</c:v>
                </c:pt>
                <c:pt idx="1">
                  <c:v>Q2 2013</c:v>
                </c:pt>
                <c:pt idx="2">
                  <c:v>Q3 2013</c:v>
                </c:pt>
                <c:pt idx="3">
                  <c:v>Q4 2013</c:v>
                </c:pt>
                <c:pt idx="4">
                  <c:v>Q1 2014</c:v>
                </c:pt>
                <c:pt idx="5">
                  <c:v>Q2 2014</c:v>
                </c:pt>
                <c:pt idx="6">
                  <c:v>Q3 2014</c:v>
                </c:pt>
                <c:pt idx="7">
                  <c:v>Q4 2014</c:v>
                </c:pt>
                <c:pt idx="8">
                  <c:v>Q1 2015</c:v>
                </c:pt>
                <c:pt idx="9">
                  <c:v>Q2 2015</c:v>
                </c:pt>
                <c:pt idx="10">
                  <c:v>Q3 2015</c:v>
                </c:pt>
                <c:pt idx="11">
                  <c:v>Q4 2015</c:v>
                </c:pt>
                <c:pt idx="12">
                  <c:v>Q1 2016</c:v>
                </c:pt>
                <c:pt idx="13">
                  <c:v>Q2 2016</c:v>
                </c:pt>
                <c:pt idx="14">
                  <c:v>Q4 2016</c:v>
                </c:pt>
                <c:pt idx="15">
                  <c:v>Q1 2017</c:v>
                </c:pt>
                <c:pt idx="16">
                  <c:v>Q2 2017</c:v>
                </c:pt>
                <c:pt idx="17">
                  <c:v>Q3 2017</c:v>
                </c:pt>
                <c:pt idx="18">
                  <c:v>Q4 2017</c:v>
                </c:pt>
                <c:pt idx="19">
                  <c:v>Q1 2018</c:v>
                </c:pt>
                <c:pt idx="20">
                  <c:v>Q2 2018</c:v>
                </c:pt>
                <c:pt idx="21">
                  <c:v>Q3 2018</c:v>
                </c:pt>
                <c:pt idx="22">
                  <c:v>Q4 2018</c:v>
                </c:pt>
                <c:pt idx="23">
                  <c:v>Q1 2019</c:v>
                </c:pt>
                <c:pt idx="24">
                  <c:v>Q2 2019</c:v>
                </c:pt>
                <c:pt idx="25">
                  <c:v>Q3 2019</c:v>
                </c:pt>
                <c:pt idx="26">
                  <c:v>Q4 2019</c:v>
                </c:pt>
                <c:pt idx="27">
                  <c:v>Q1 2020</c:v>
                </c:pt>
                <c:pt idx="28">
                  <c:v>Q2 2020</c:v>
                </c:pt>
                <c:pt idx="29">
                  <c:v>Q3 2020</c:v>
                </c:pt>
                <c:pt idx="30">
                  <c:v>Q4 2020</c:v>
                </c:pt>
                <c:pt idx="31">
                  <c:v>Q1 2021</c:v>
                </c:pt>
                <c:pt idx="32">
                  <c:v>Q2 2021</c:v>
                </c:pt>
                <c:pt idx="33">
                  <c:v>Q3 2021</c:v>
                </c:pt>
                <c:pt idx="34">
                  <c:v>Q4 2021</c:v>
                </c:pt>
                <c:pt idx="35">
                  <c:v>Q1 2022</c:v>
                </c:pt>
                <c:pt idx="36">
                  <c:v>Q2 2022</c:v>
                </c:pt>
                <c:pt idx="37">
                  <c:v>Q3 2022</c:v>
                </c:pt>
              </c:strCache>
            </c:strRef>
          </c:cat>
          <c:val>
            <c:numRef>
              <c:f>'[Diana SC.xlsx]Sheet3'!$H$2:$H$39</c:f>
              <c:numCache>
                <c:formatCode>General</c:formatCode>
                <c:ptCount val="38"/>
                <c:pt idx="0">
                  <c:v>470.697</c:v>
                </c:pt>
                <c:pt idx="1">
                  <c:v>469.74099999999999</c:v>
                </c:pt>
                <c:pt idx="2">
                  <c:v>465.262</c:v>
                </c:pt>
                <c:pt idx="3">
                  <c:v>431.55700000000002</c:v>
                </c:pt>
                <c:pt idx="4">
                  <c:v>460.17599999999999</c:v>
                </c:pt>
                <c:pt idx="5">
                  <c:v>471.12200000000001</c:v>
                </c:pt>
                <c:pt idx="6">
                  <c:v>467</c:v>
                </c:pt>
                <c:pt idx="7">
                  <c:v>484.25599999999997</c:v>
                </c:pt>
                <c:pt idx="8">
                  <c:v>557.01400000000001</c:v>
                </c:pt>
                <c:pt idx="9">
                  <c:v>625.42899999999997</c:v>
                </c:pt>
                <c:pt idx="10">
                  <c:v>532.81899999999996</c:v>
                </c:pt>
                <c:pt idx="11">
                  <c:v>600.07100000000003</c:v>
                </c:pt>
                <c:pt idx="12">
                  <c:v>616.05600000000004</c:v>
                </c:pt>
                <c:pt idx="13">
                  <c:v>618.68899999999996</c:v>
                </c:pt>
                <c:pt idx="14">
                  <c:v>598.18100000000004</c:v>
                </c:pt>
                <c:pt idx="15">
                  <c:v>645.36400000000003</c:v>
                </c:pt>
                <c:pt idx="16">
                  <c:v>633.60199999999998</c:v>
                </c:pt>
                <c:pt idx="17">
                  <c:v>622.05600000000004</c:v>
                </c:pt>
                <c:pt idx="18">
                  <c:v>601.38400000000001</c:v>
                </c:pt>
                <c:pt idx="19">
                  <c:v>587.20899999999995</c:v>
                </c:pt>
                <c:pt idx="20">
                  <c:v>571.91600000000005</c:v>
                </c:pt>
                <c:pt idx="21">
                  <c:v>605.10599999999999</c:v>
                </c:pt>
                <c:pt idx="22">
                  <c:v>530.54700000000003</c:v>
                </c:pt>
                <c:pt idx="23">
                  <c:v>506.24599999999998</c:v>
                </c:pt>
                <c:pt idx="24">
                  <c:v>495.02100000000002</c:v>
                </c:pt>
                <c:pt idx="25">
                  <c:v>485.52699999999999</c:v>
                </c:pt>
                <c:pt idx="26">
                  <c:v>474.95100000000002</c:v>
                </c:pt>
                <c:pt idx="27">
                  <c:v>465.44099999999997</c:v>
                </c:pt>
                <c:pt idx="28">
                  <c:v>454.27499999999998</c:v>
                </c:pt>
                <c:pt idx="29">
                  <c:v>430.89</c:v>
                </c:pt>
                <c:pt idx="30">
                  <c:v>420.31400000000002</c:v>
                </c:pt>
                <c:pt idx="31">
                  <c:v>411.44499999999999</c:v>
                </c:pt>
                <c:pt idx="32">
                  <c:v>461.51499999999999</c:v>
                </c:pt>
                <c:pt idx="33">
                  <c:v>434.72800000000001</c:v>
                </c:pt>
                <c:pt idx="34">
                  <c:v>423.67500000000001</c:v>
                </c:pt>
                <c:pt idx="35">
                  <c:v>463.411</c:v>
                </c:pt>
                <c:pt idx="36">
                  <c:v>451.71800000000002</c:v>
                </c:pt>
                <c:pt idx="37">
                  <c:v>471.786</c:v>
                </c:pt>
              </c:numCache>
            </c:numRef>
          </c:val>
          <c:smooth val="0"/>
          <c:extLst>
            <c:ext xmlns:c16="http://schemas.microsoft.com/office/drawing/2014/chart" uri="{C3380CC4-5D6E-409C-BE32-E72D297353CC}">
              <c16:uniqueId val="{00000000-9B89-4622-8CB4-8A75A4F08FF5}"/>
            </c:ext>
          </c:extLst>
        </c:ser>
        <c:dLbls>
          <c:showLegendKey val="0"/>
          <c:showVal val="0"/>
          <c:showCatName val="0"/>
          <c:showSerName val="0"/>
          <c:showPercent val="0"/>
          <c:showBubbleSize val="0"/>
        </c:dLbls>
        <c:smooth val="0"/>
        <c:axId val="843207423"/>
        <c:axId val="843206175"/>
      </c:lineChart>
      <c:catAx>
        <c:axId val="843207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3206175"/>
        <c:crosses val="autoZero"/>
        <c:auto val="1"/>
        <c:lblAlgn val="ctr"/>
        <c:lblOffset val="100"/>
        <c:noMultiLvlLbl val="0"/>
      </c:catAx>
      <c:valAx>
        <c:axId val="8432061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3207423"/>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chemeClr val="accent6"/>
                </a:solidFill>
              </a:rPr>
              <a:t>Equity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'[Diana SC.xlsx]DE Ratio'!$P$1</c:f>
              <c:strCache>
                <c:ptCount val="1"/>
                <c:pt idx="0">
                  <c:v>Equity</c:v>
                </c:pt>
              </c:strCache>
            </c:strRef>
          </c:tx>
          <c:spPr>
            <a:ln w="28575" cap="rnd">
              <a:solidFill>
                <a:schemeClr val="accent1"/>
              </a:solidFill>
              <a:round/>
            </a:ln>
            <a:effectLst/>
          </c:spPr>
          <c:marker>
            <c:symbol val="none"/>
          </c:marker>
          <c:cat>
            <c:strRef>
              <c:f>'[Diana SC.xlsx]DE Ratio'!$O$2:$O$39</c:f>
              <c:strCache>
                <c:ptCount val="38"/>
                <c:pt idx="0">
                  <c:v>Q1 2013</c:v>
                </c:pt>
                <c:pt idx="1">
                  <c:v>Q2 2013</c:v>
                </c:pt>
                <c:pt idx="2">
                  <c:v>Q3 2013</c:v>
                </c:pt>
                <c:pt idx="3">
                  <c:v>Q4 2013</c:v>
                </c:pt>
                <c:pt idx="4">
                  <c:v>Q1 2014</c:v>
                </c:pt>
                <c:pt idx="5">
                  <c:v>Q2 2014</c:v>
                </c:pt>
                <c:pt idx="6">
                  <c:v>Q3 2014</c:v>
                </c:pt>
                <c:pt idx="7">
                  <c:v>Q4 2014</c:v>
                </c:pt>
                <c:pt idx="8">
                  <c:v>Q1 2015</c:v>
                </c:pt>
                <c:pt idx="9">
                  <c:v>Q2 2015</c:v>
                </c:pt>
                <c:pt idx="10">
                  <c:v>Q3 2015</c:v>
                </c:pt>
                <c:pt idx="11">
                  <c:v>Q4 2015</c:v>
                </c:pt>
                <c:pt idx="12">
                  <c:v>Q1 2016</c:v>
                </c:pt>
                <c:pt idx="13">
                  <c:v>Q2 2016</c:v>
                </c:pt>
                <c:pt idx="14">
                  <c:v>Q4 2016</c:v>
                </c:pt>
                <c:pt idx="15">
                  <c:v>Q1 2017</c:v>
                </c:pt>
                <c:pt idx="16">
                  <c:v>Q2 2017</c:v>
                </c:pt>
                <c:pt idx="17">
                  <c:v>Q3 2017</c:v>
                </c:pt>
                <c:pt idx="18">
                  <c:v>Q4 2017</c:v>
                </c:pt>
                <c:pt idx="19">
                  <c:v>Q1 2018</c:v>
                </c:pt>
                <c:pt idx="20">
                  <c:v>Q2 2018</c:v>
                </c:pt>
                <c:pt idx="21">
                  <c:v>Q3 2018</c:v>
                </c:pt>
                <c:pt idx="22">
                  <c:v>Q4 2018</c:v>
                </c:pt>
                <c:pt idx="23">
                  <c:v>Q1 2019</c:v>
                </c:pt>
                <c:pt idx="24">
                  <c:v>Q2 2019</c:v>
                </c:pt>
                <c:pt idx="25">
                  <c:v>Q3 2019</c:v>
                </c:pt>
                <c:pt idx="26">
                  <c:v>Q4 2019</c:v>
                </c:pt>
                <c:pt idx="27">
                  <c:v>Q1 2020</c:v>
                </c:pt>
                <c:pt idx="28">
                  <c:v>Q2 2020</c:v>
                </c:pt>
                <c:pt idx="29">
                  <c:v>Q3 2020</c:v>
                </c:pt>
                <c:pt idx="30">
                  <c:v>Q4 2020</c:v>
                </c:pt>
                <c:pt idx="31">
                  <c:v>Q1 2021</c:v>
                </c:pt>
                <c:pt idx="32">
                  <c:v>Q2 2021</c:v>
                </c:pt>
                <c:pt idx="33">
                  <c:v>Q3 2021</c:v>
                </c:pt>
                <c:pt idx="34">
                  <c:v>Q4 2021</c:v>
                </c:pt>
                <c:pt idx="35">
                  <c:v>Q1 2022</c:v>
                </c:pt>
                <c:pt idx="36">
                  <c:v>Q2 2022</c:v>
                </c:pt>
                <c:pt idx="37">
                  <c:v>Q3 2022</c:v>
                </c:pt>
              </c:strCache>
            </c:strRef>
          </c:cat>
          <c:val>
            <c:numRef>
              <c:f>'[Diana SC.xlsx]DE Ratio'!$P$2:$P$39</c:f>
              <c:numCache>
                <c:formatCode>General</c:formatCode>
                <c:ptCount val="38"/>
                <c:pt idx="0">
                  <c:v>1265.165</c:v>
                </c:pt>
                <c:pt idx="1">
                  <c:v>1261.9639999999999</c:v>
                </c:pt>
                <c:pt idx="2">
                  <c:v>1260.8520000000001</c:v>
                </c:pt>
                <c:pt idx="3">
                  <c:v>1253.3920000000001</c:v>
                </c:pt>
                <c:pt idx="4">
                  <c:v>1311.308</c:v>
                </c:pt>
                <c:pt idx="5">
                  <c:v>1306.0730000000001</c:v>
                </c:pt>
                <c:pt idx="6">
                  <c:v>1304.3510000000001</c:v>
                </c:pt>
                <c:pt idx="7">
                  <c:v>1282.2260000000001</c:v>
                </c:pt>
                <c:pt idx="8">
                  <c:v>1269.289</c:v>
                </c:pt>
                <c:pt idx="9">
                  <c:v>1255.886</c:v>
                </c:pt>
                <c:pt idx="10">
                  <c:v>1239.1679999999999</c:v>
                </c:pt>
                <c:pt idx="11">
                  <c:v>1218.366</c:v>
                </c:pt>
                <c:pt idx="12">
                  <c:v>1187.671</c:v>
                </c:pt>
                <c:pt idx="13">
                  <c:v>1156.98</c:v>
                </c:pt>
                <c:pt idx="14">
                  <c:v>1056.5889999999999</c:v>
                </c:pt>
                <c:pt idx="15">
                  <c:v>1030.6759999999999</c:v>
                </c:pt>
                <c:pt idx="16">
                  <c:v>1085.2860000000001</c:v>
                </c:pt>
                <c:pt idx="17">
                  <c:v>1061.171</c:v>
                </c:pt>
                <c:pt idx="18">
                  <c:v>624.75800000000004</c:v>
                </c:pt>
                <c:pt idx="19">
                  <c:v>622.12800000000004</c:v>
                </c:pt>
                <c:pt idx="20">
                  <c:v>624.423</c:v>
                </c:pt>
                <c:pt idx="21">
                  <c:v>639.54899999999998</c:v>
                </c:pt>
                <c:pt idx="22">
                  <c:v>627.68399999999997</c:v>
                </c:pt>
                <c:pt idx="23">
                  <c:v>621.01499999999999</c:v>
                </c:pt>
                <c:pt idx="24">
                  <c:v>609.38199999999995</c:v>
                </c:pt>
                <c:pt idx="25">
                  <c:v>603.91899999999998</c:v>
                </c:pt>
                <c:pt idx="26">
                  <c:v>570.06399999999996</c:v>
                </c:pt>
                <c:pt idx="27">
                  <c:v>457.69900000000001</c:v>
                </c:pt>
                <c:pt idx="28">
                  <c:v>447.05399999999997</c:v>
                </c:pt>
                <c:pt idx="29">
                  <c:v>436.47300000000001</c:v>
                </c:pt>
                <c:pt idx="30">
                  <c:v>428.57</c:v>
                </c:pt>
                <c:pt idx="31">
                  <c:v>412.09699999999998</c:v>
                </c:pt>
                <c:pt idx="32">
                  <c:v>415.733</c:v>
                </c:pt>
                <c:pt idx="33">
                  <c:v>415.90100000000001</c:v>
                </c:pt>
                <c:pt idx="34">
                  <c:v>393.404</c:v>
                </c:pt>
                <c:pt idx="35">
                  <c:v>402.60399999999998</c:v>
                </c:pt>
                <c:pt idx="36">
                  <c:v>422.10500000000002</c:v>
                </c:pt>
                <c:pt idx="37">
                  <c:v>428.34199999999998</c:v>
                </c:pt>
              </c:numCache>
            </c:numRef>
          </c:val>
          <c:smooth val="0"/>
          <c:extLst>
            <c:ext xmlns:c16="http://schemas.microsoft.com/office/drawing/2014/chart" uri="{C3380CC4-5D6E-409C-BE32-E72D297353CC}">
              <c16:uniqueId val="{00000000-FDB0-C84B-843E-9BEDE11DE00D}"/>
            </c:ext>
          </c:extLst>
        </c:ser>
        <c:dLbls>
          <c:showLegendKey val="0"/>
          <c:showVal val="0"/>
          <c:showCatName val="0"/>
          <c:showSerName val="0"/>
          <c:showPercent val="0"/>
          <c:showBubbleSize val="0"/>
        </c:dLbls>
        <c:smooth val="0"/>
        <c:axId val="608104304"/>
        <c:axId val="608103472"/>
      </c:lineChart>
      <c:catAx>
        <c:axId val="608104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8103472"/>
        <c:crosses val="autoZero"/>
        <c:auto val="1"/>
        <c:lblAlgn val="ctr"/>
        <c:lblOffset val="100"/>
        <c:noMultiLvlLbl val="0"/>
      </c:catAx>
      <c:valAx>
        <c:axId val="608103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81043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solidFill>
                  <a:schemeClr val="accent6"/>
                </a:solidFill>
              </a:rPr>
              <a:t>Debt Equity Ratio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'[Diana SC.xlsx]DE Ratio'!$B$1</c:f>
              <c:strCache>
                <c:ptCount val="1"/>
                <c:pt idx="0">
                  <c:v>Debt Equity Ratio</c:v>
                </c:pt>
              </c:strCache>
            </c:strRef>
          </c:tx>
          <c:spPr>
            <a:ln w="28575" cap="rnd">
              <a:solidFill>
                <a:schemeClr val="accent1"/>
              </a:solidFill>
              <a:round/>
            </a:ln>
            <a:effectLst/>
          </c:spPr>
          <c:marker>
            <c:symbol val="none"/>
          </c:marker>
          <c:cat>
            <c:strRef>
              <c:f>'[Diana SC.xlsx]DE Ratio'!$A$2:$A$39</c:f>
              <c:strCache>
                <c:ptCount val="38"/>
                <c:pt idx="0">
                  <c:v>Q1 2013</c:v>
                </c:pt>
                <c:pt idx="1">
                  <c:v>Q2 2013</c:v>
                </c:pt>
                <c:pt idx="2">
                  <c:v>Q3 2013</c:v>
                </c:pt>
                <c:pt idx="3">
                  <c:v>Q4 2013</c:v>
                </c:pt>
                <c:pt idx="4">
                  <c:v>Q1 2014</c:v>
                </c:pt>
                <c:pt idx="5">
                  <c:v>Q2 2014</c:v>
                </c:pt>
                <c:pt idx="6">
                  <c:v>Q3 2014</c:v>
                </c:pt>
                <c:pt idx="7">
                  <c:v>Q4 2014</c:v>
                </c:pt>
                <c:pt idx="8">
                  <c:v>Q1 2015</c:v>
                </c:pt>
                <c:pt idx="9">
                  <c:v>Q2 2015</c:v>
                </c:pt>
                <c:pt idx="10">
                  <c:v>Q3 2015</c:v>
                </c:pt>
                <c:pt idx="11">
                  <c:v>Q4 2015</c:v>
                </c:pt>
                <c:pt idx="12">
                  <c:v>Q1 2016</c:v>
                </c:pt>
                <c:pt idx="13">
                  <c:v>Q2 2016</c:v>
                </c:pt>
                <c:pt idx="14">
                  <c:v>Q4 2016</c:v>
                </c:pt>
                <c:pt idx="15">
                  <c:v>Q1 2017</c:v>
                </c:pt>
                <c:pt idx="16">
                  <c:v>Q2 2017</c:v>
                </c:pt>
                <c:pt idx="17">
                  <c:v>Q3 2017</c:v>
                </c:pt>
                <c:pt idx="18">
                  <c:v>Q4 2017</c:v>
                </c:pt>
                <c:pt idx="19">
                  <c:v>Q1 2018</c:v>
                </c:pt>
                <c:pt idx="20">
                  <c:v>Q2 2018</c:v>
                </c:pt>
                <c:pt idx="21">
                  <c:v>Q3 2018</c:v>
                </c:pt>
                <c:pt idx="22">
                  <c:v>Q4 2018</c:v>
                </c:pt>
                <c:pt idx="23">
                  <c:v>Q1 2019</c:v>
                </c:pt>
                <c:pt idx="24">
                  <c:v>Q2 2019</c:v>
                </c:pt>
                <c:pt idx="25">
                  <c:v>Q3 2019</c:v>
                </c:pt>
                <c:pt idx="26">
                  <c:v>Q4 2019</c:v>
                </c:pt>
                <c:pt idx="27">
                  <c:v>Q1 2020</c:v>
                </c:pt>
                <c:pt idx="28">
                  <c:v>Q2 2020</c:v>
                </c:pt>
                <c:pt idx="29">
                  <c:v>Q3 2020</c:v>
                </c:pt>
                <c:pt idx="30">
                  <c:v>Q4 2020</c:v>
                </c:pt>
                <c:pt idx="31">
                  <c:v>Q1 2021</c:v>
                </c:pt>
                <c:pt idx="32">
                  <c:v>Q2 2021</c:v>
                </c:pt>
                <c:pt idx="33">
                  <c:v>Q3 2021</c:v>
                </c:pt>
                <c:pt idx="34">
                  <c:v>Q4 2021</c:v>
                </c:pt>
                <c:pt idx="35">
                  <c:v>Q1 2022</c:v>
                </c:pt>
                <c:pt idx="36">
                  <c:v>Q2 2022</c:v>
                </c:pt>
                <c:pt idx="37">
                  <c:v>Q3 2022</c:v>
                </c:pt>
              </c:strCache>
            </c:strRef>
          </c:cat>
          <c:val>
            <c:numRef>
              <c:f>'[Diana SC.xlsx]DE Ratio'!$B$2:$B$39</c:f>
              <c:numCache>
                <c:formatCode>General</c:formatCode>
                <c:ptCount val="38"/>
                <c:pt idx="0">
                  <c:v>37.2044</c:v>
                </c:pt>
                <c:pt idx="1">
                  <c:v>37.222999999999999</c:v>
                </c:pt>
                <c:pt idx="2">
                  <c:v>36.900599999999997</c:v>
                </c:pt>
                <c:pt idx="3">
                  <c:v>34.431100000000001</c:v>
                </c:pt>
                <c:pt idx="4">
                  <c:v>35.0929</c:v>
                </c:pt>
                <c:pt idx="5">
                  <c:v>36.071599999999997</c:v>
                </c:pt>
                <c:pt idx="6">
                  <c:v>35.803199999999997</c:v>
                </c:pt>
                <c:pt idx="7">
                  <c:v>37.766800000000003</c:v>
                </c:pt>
                <c:pt idx="8">
                  <c:v>43.883899999999997</c:v>
                </c:pt>
                <c:pt idx="9">
                  <c:v>49.799799999999998</c:v>
                </c:pt>
                <c:pt idx="10">
                  <c:v>42.998100000000001</c:v>
                </c:pt>
                <c:pt idx="11">
                  <c:v>49.252099999999999</c:v>
                </c:pt>
                <c:pt idx="12">
                  <c:v>51.870899999999999</c:v>
                </c:pt>
                <c:pt idx="13">
                  <c:v>53.474499999999999</c:v>
                </c:pt>
                <c:pt idx="14">
                  <c:v>56.614400000000003</c:v>
                </c:pt>
                <c:pt idx="15">
                  <c:v>62.615600000000001</c:v>
                </c:pt>
                <c:pt idx="16">
                  <c:v>58.381100000000004</c:v>
                </c:pt>
                <c:pt idx="17">
                  <c:v>58.619799999999998</c:v>
                </c:pt>
                <c:pt idx="18">
                  <c:v>96.258700000000005</c:v>
                </c:pt>
                <c:pt idx="19">
                  <c:v>94.387200000000007</c:v>
                </c:pt>
                <c:pt idx="20">
                  <c:v>91.591099999999997</c:v>
                </c:pt>
                <c:pt idx="21">
                  <c:v>94.614500000000007</c:v>
                </c:pt>
                <c:pt idx="22">
                  <c:v>84.524500000000003</c:v>
                </c:pt>
                <c:pt idx="23">
                  <c:v>81.519099999999995</c:v>
                </c:pt>
                <c:pt idx="24">
                  <c:v>81.2333</c:v>
                </c:pt>
                <c:pt idx="25">
                  <c:v>80.396000000000001</c:v>
                </c:pt>
                <c:pt idx="26">
                  <c:v>83.315399999999997</c:v>
                </c:pt>
                <c:pt idx="27">
                  <c:v>101.6915</c:v>
                </c:pt>
                <c:pt idx="28">
                  <c:v>101.6152</c:v>
                </c:pt>
                <c:pt idx="29">
                  <c:v>98.7209</c:v>
                </c:pt>
                <c:pt idx="30">
                  <c:v>98.073599999999999</c:v>
                </c:pt>
                <c:pt idx="31">
                  <c:v>99.841800000000006</c:v>
                </c:pt>
                <c:pt idx="32">
                  <c:v>111.0124</c:v>
                </c:pt>
                <c:pt idx="33">
                  <c:v>104.52679999999999</c:v>
                </c:pt>
                <c:pt idx="34">
                  <c:v>107.69459999999999</c:v>
                </c:pt>
                <c:pt idx="35">
                  <c:v>115.10339999999999</c:v>
                </c:pt>
                <c:pt idx="36">
                  <c:v>107.01560000000001</c:v>
                </c:pt>
                <c:pt idx="37">
                  <c:v>110.14239999999999</c:v>
                </c:pt>
              </c:numCache>
            </c:numRef>
          </c:val>
          <c:smooth val="0"/>
          <c:extLst>
            <c:ext xmlns:c16="http://schemas.microsoft.com/office/drawing/2014/chart" uri="{C3380CC4-5D6E-409C-BE32-E72D297353CC}">
              <c16:uniqueId val="{00000000-A55D-40DF-BC87-B423BA8223B7}"/>
            </c:ext>
          </c:extLst>
        </c:ser>
        <c:dLbls>
          <c:showLegendKey val="0"/>
          <c:showVal val="0"/>
          <c:showCatName val="0"/>
          <c:showSerName val="0"/>
          <c:showPercent val="0"/>
          <c:showBubbleSize val="0"/>
        </c:dLbls>
        <c:smooth val="0"/>
        <c:axId val="265497759"/>
        <c:axId val="265498175"/>
      </c:lineChart>
      <c:catAx>
        <c:axId val="2654977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5498175"/>
        <c:crosses val="autoZero"/>
        <c:auto val="1"/>
        <c:lblAlgn val="ctr"/>
        <c:lblOffset val="100"/>
        <c:noMultiLvlLbl val="0"/>
      </c:catAx>
      <c:valAx>
        <c:axId val="2654981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54977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solidFill>
                  <a:schemeClr val="accent6"/>
                </a:solidFill>
              </a:rPr>
              <a:t>5-Year</a:t>
            </a:r>
            <a:r>
              <a:rPr lang="en-IN" baseline="0">
                <a:solidFill>
                  <a:schemeClr val="accent6"/>
                </a:solidFill>
              </a:rPr>
              <a:t> Rolling </a:t>
            </a:r>
            <a:r>
              <a:rPr lang="en-IN">
                <a:solidFill>
                  <a:schemeClr val="accent6"/>
                </a:solidFill>
              </a:rPr>
              <a:t>Beta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'[Diana SC.xlsx]Beta'!$B$1</c:f>
              <c:strCache>
                <c:ptCount val="1"/>
                <c:pt idx="0">
                  <c:v>Beta</c:v>
                </c:pt>
              </c:strCache>
            </c:strRef>
          </c:tx>
          <c:spPr>
            <a:ln w="28575" cap="rnd">
              <a:solidFill>
                <a:schemeClr val="accent1"/>
              </a:solidFill>
              <a:round/>
            </a:ln>
            <a:effectLst/>
          </c:spPr>
          <c:marker>
            <c:symbol val="none"/>
          </c:marker>
          <c:cat>
            <c:numRef>
              <c:f>'[Diana SC.xlsx]Beta'!$A$2:$A$154</c:f>
              <c:numCache>
                <c:formatCode>m/d/yyyy</c:formatCode>
                <c:ptCount val="153"/>
                <c:pt idx="0">
                  <c:v>40269</c:v>
                </c:pt>
                <c:pt idx="1">
                  <c:v>40299</c:v>
                </c:pt>
                <c:pt idx="2">
                  <c:v>40330</c:v>
                </c:pt>
                <c:pt idx="3">
                  <c:v>40360</c:v>
                </c:pt>
                <c:pt idx="4">
                  <c:v>40391</c:v>
                </c:pt>
                <c:pt idx="5">
                  <c:v>40422</c:v>
                </c:pt>
                <c:pt idx="6">
                  <c:v>40452</c:v>
                </c:pt>
                <c:pt idx="7">
                  <c:v>40483</c:v>
                </c:pt>
                <c:pt idx="8">
                  <c:v>40513</c:v>
                </c:pt>
                <c:pt idx="9">
                  <c:v>40544</c:v>
                </c:pt>
                <c:pt idx="10">
                  <c:v>40575</c:v>
                </c:pt>
                <c:pt idx="11">
                  <c:v>40603</c:v>
                </c:pt>
                <c:pt idx="12">
                  <c:v>40634</c:v>
                </c:pt>
                <c:pt idx="13">
                  <c:v>40664</c:v>
                </c:pt>
                <c:pt idx="14">
                  <c:v>40695</c:v>
                </c:pt>
                <c:pt idx="15">
                  <c:v>40725</c:v>
                </c:pt>
                <c:pt idx="16">
                  <c:v>40756</c:v>
                </c:pt>
                <c:pt idx="17">
                  <c:v>40787</c:v>
                </c:pt>
                <c:pt idx="18">
                  <c:v>40817</c:v>
                </c:pt>
                <c:pt idx="19">
                  <c:v>40848</c:v>
                </c:pt>
                <c:pt idx="20">
                  <c:v>40878</c:v>
                </c:pt>
                <c:pt idx="21">
                  <c:v>40909</c:v>
                </c:pt>
                <c:pt idx="22">
                  <c:v>40940</c:v>
                </c:pt>
                <c:pt idx="23">
                  <c:v>40969</c:v>
                </c:pt>
                <c:pt idx="24">
                  <c:v>41000</c:v>
                </c:pt>
                <c:pt idx="25">
                  <c:v>41030</c:v>
                </c:pt>
                <c:pt idx="26">
                  <c:v>41061</c:v>
                </c:pt>
                <c:pt idx="27">
                  <c:v>41091</c:v>
                </c:pt>
                <c:pt idx="28">
                  <c:v>41122</c:v>
                </c:pt>
                <c:pt idx="29">
                  <c:v>41153</c:v>
                </c:pt>
                <c:pt idx="30">
                  <c:v>41183</c:v>
                </c:pt>
                <c:pt idx="31">
                  <c:v>41214</c:v>
                </c:pt>
                <c:pt idx="32">
                  <c:v>41244</c:v>
                </c:pt>
                <c:pt idx="33">
                  <c:v>41275</c:v>
                </c:pt>
                <c:pt idx="34">
                  <c:v>41306</c:v>
                </c:pt>
                <c:pt idx="35">
                  <c:v>41334</c:v>
                </c:pt>
                <c:pt idx="36">
                  <c:v>41365</c:v>
                </c:pt>
                <c:pt idx="37">
                  <c:v>41395</c:v>
                </c:pt>
                <c:pt idx="38">
                  <c:v>41426</c:v>
                </c:pt>
                <c:pt idx="39">
                  <c:v>41456</c:v>
                </c:pt>
                <c:pt idx="40">
                  <c:v>41487</c:v>
                </c:pt>
                <c:pt idx="41">
                  <c:v>41518</c:v>
                </c:pt>
                <c:pt idx="42">
                  <c:v>41548</c:v>
                </c:pt>
                <c:pt idx="43">
                  <c:v>41579</c:v>
                </c:pt>
                <c:pt idx="44">
                  <c:v>41609</c:v>
                </c:pt>
                <c:pt idx="45">
                  <c:v>41640</c:v>
                </c:pt>
                <c:pt idx="46">
                  <c:v>41671</c:v>
                </c:pt>
                <c:pt idx="47">
                  <c:v>41699</c:v>
                </c:pt>
                <c:pt idx="48">
                  <c:v>41730</c:v>
                </c:pt>
                <c:pt idx="49">
                  <c:v>41760</c:v>
                </c:pt>
                <c:pt idx="50">
                  <c:v>41791</c:v>
                </c:pt>
                <c:pt idx="51">
                  <c:v>41821</c:v>
                </c:pt>
                <c:pt idx="52">
                  <c:v>41852</c:v>
                </c:pt>
                <c:pt idx="53">
                  <c:v>41883</c:v>
                </c:pt>
                <c:pt idx="54">
                  <c:v>41913</c:v>
                </c:pt>
                <c:pt idx="55">
                  <c:v>41944</c:v>
                </c:pt>
                <c:pt idx="56">
                  <c:v>41974</c:v>
                </c:pt>
                <c:pt idx="57">
                  <c:v>42005</c:v>
                </c:pt>
                <c:pt idx="58">
                  <c:v>42036</c:v>
                </c:pt>
                <c:pt idx="59">
                  <c:v>42064</c:v>
                </c:pt>
                <c:pt idx="60">
                  <c:v>42095</c:v>
                </c:pt>
                <c:pt idx="61">
                  <c:v>42125</c:v>
                </c:pt>
                <c:pt idx="62">
                  <c:v>42156</c:v>
                </c:pt>
                <c:pt idx="63">
                  <c:v>42186</c:v>
                </c:pt>
                <c:pt idx="64">
                  <c:v>42217</c:v>
                </c:pt>
                <c:pt idx="65">
                  <c:v>42248</c:v>
                </c:pt>
                <c:pt idx="66">
                  <c:v>42278</c:v>
                </c:pt>
                <c:pt idx="67">
                  <c:v>42309</c:v>
                </c:pt>
                <c:pt idx="68">
                  <c:v>42339</c:v>
                </c:pt>
                <c:pt idx="69">
                  <c:v>42370</c:v>
                </c:pt>
                <c:pt idx="70">
                  <c:v>42401</c:v>
                </c:pt>
                <c:pt idx="71">
                  <c:v>42430</c:v>
                </c:pt>
                <c:pt idx="72">
                  <c:v>42461</c:v>
                </c:pt>
                <c:pt idx="73">
                  <c:v>42491</c:v>
                </c:pt>
                <c:pt idx="74">
                  <c:v>42522</c:v>
                </c:pt>
                <c:pt idx="75">
                  <c:v>42552</c:v>
                </c:pt>
                <c:pt idx="76">
                  <c:v>42583</c:v>
                </c:pt>
                <c:pt idx="77">
                  <c:v>42614</c:v>
                </c:pt>
                <c:pt idx="78">
                  <c:v>42644</c:v>
                </c:pt>
                <c:pt idx="79">
                  <c:v>42675</c:v>
                </c:pt>
                <c:pt idx="80">
                  <c:v>42705</c:v>
                </c:pt>
                <c:pt idx="81">
                  <c:v>42736</c:v>
                </c:pt>
                <c:pt idx="82">
                  <c:v>42767</c:v>
                </c:pt>
                <c:pt idx="83">
                  <c:v>42795</c:v>
                </c:pt>
                <c:pt idx="84">
                  <c:v>42826</c:v>
                </c:pt>
                <c:pt idx="85">
                  <c:v>42856</c:v>
                </c:pt>
                <c:pt idx="86">
                  <c:v>42887</c:v>
                </c:pt>
                <c:pt idx="87">
                  <c:v>42917</c:v>
                </c:pt>
                <c:pt idx="88">
                  <c:v>42948</c:v>
                </c:pt>
                <c:pt idx="89">
                  <c:v>42979</c:v>
                </c:pt>
                <c:pt idx="90">
                  <c:v>43009</c:v>
                </c:pt>
                <c:pt idx="91">
                  <c:v>43040</c:v>
                </c:pt>
                <c:pt idx="92">
                  <c:v>43070</c:v>
                </c:pt>
                <c:pt idx="93">
                  <c:v>43101</c:v>
                </c:pt>
                <c:pt idx="94">
                  <c:v>43132</c:v>
                </c:pt>
                <c:pt idx="95">
                  <c:v>43160</c:v>
                </c:pt>
                <c:pt idx="96">
                  <c:v>43191</c:v>
                </c:pt>
                <c:pt idx="97">
                  <c:v>43221</c:v>
                </c:pt>
                <c:pt idx="98">
                  <c:v>43252</c:v>
                </c:pt>
                <c:pt idx="99">
                  <c:v>43282</c:v>
                </c:pt>
                <c:pt idx="100">
                  <c:v>43313</c:v>
                </c:pt>
                <c:pt idx="101">
                  <c:v>43344</c:v>
                </c:pt>
                <c:pt idx="102">
                  <c:v>43374</c:v>
                </c:pt>
                <c:pt idx="103">
                  <c:v>43405</c:v>
                </c:pt>
                <c:pt idx="104">
                  <c:v>43435</c:v>
                </c:pt>
                <c:pt idx="105">
                  <c:v>43466</c:v>
                </c:pt>
                <c:pt idx="106">
                  <c:v>43497</c:v>
                </c:pt>
                <c:pt idx="107">
                  <c:v>43525</c:v>
                </c:pt>
                <c:pt idx="108">
                  <c:v>43556</c:v>
                </c:pt>
                <c:pt idx="109">
                  <c:v>43586</c:v>
                </c:pt>
                <c:pt idx="110">
                  <c:v>43617</c:v>
                </c:pt>
                <c:pt idx="111">
                  <c:v>43647</c:v>
                </c:pt>
                <c:pt idx="112">
                  <c:v>43678</c:v>
                </c:pt>
                <c:pt idx="113">
                  <c:v>43709</c:v>
                </c:pt>
                <c:pt idx="114">
                  <c:v>43739</c:v>
                </c:pt>
                <c:pt idx="115">
                  <c:v>43770</c:v>
                </c:pt>
                <c:pt idx="116">
                  <c:v>43800</c:v>
                </c:pt>
                <c:pt idx="117">
                  <c:v>43831</c:v>
                </c:pt>
                <c:pt idx="118">
                  <c:v>43862</c:v>
                </c:pt>
                <c:pt idx="119">
                  <c:v>43891</c:v>
                </c:pt>
                <c:pt idx="120">
                  <c:v>43922</c:v>
                </c:pt>
                <c:pt idx="121">
                  <c:v>43952</c:v>
                </c:pt>
                <c:pt idx="122">
                  <c:v>43983</c:v>
                </c:pt>
                <c:pt idx="123">
                  <c:v>44013</c:v>
                </c:pt>
                <c:pt idx="124">
                  <c:v>44044</c:v>
                </c:pt>
                <c:pt idx="125">
                  <c:v>44075</c:v>
                </c:pt>
                <c:pt idx="126">
                  <c:v>44105</c:v>
                </c:pt>
                <c:pt idx="127">
                  <c:v>44136</c:v>
                </c:pt>
                <c:pt idx="128">
                  <c:v>44166</c:v>
                </c:pt>
                <c:pt idx="129">
                  <c:v>44197</c:v>
                </c:pt>
                <c:pt idx="130">
                  <c:v>44228</c:v>
                </c:pt>
                <c:pt idx="131">
                  <c:v>44256</c:v>
                </c:pt>
                <c:pt idx="132">
                  <c:v>44287</c:v>
                </c:pt>
                <c:pt idx="133">
                  <c:v>44317</c:v>
                </c:pt>
                <c:pt idx="134">
                  <c:v>44348</c:v>
                </c:pt>
                <c:pt idx="135">
                  <c:v>44378</c:v>
                </c:pt>
                <c:pt idx="136">
                  <c:v>44409</c:v>
                </c:pt>
                <c:pt idx="137">
                  <c:v>44440</c:v>
                </c:pt>
                <c:pt idx="138">
                  <c:v>44470</c:v>
                </c:pt>
                <c:pt idx="139">
                  <c:v>44501</c:v>
                </c:pt>
                <c:pt idx="140">
                  <c:v>44531</c:v>
                </c:pt>
                <c:pt idx="141">
                  <c:v>44562</c:v>
                </c:pt>
                <c:pt idx="142">
                  <c:v>44593</c:v>
                </c:pt>
                <c:pt idx="143">
                  <c:v>44621</c:v>
                </c:pt>
                <c:pt idx="144">
                  <c:v>44652</c:v>
                </c:pt>
                <c:pt idx="145">
                  <c:v>44682</c:v>
                </c:pt>
                <c:pt idx="146">
                  <c:v>44713</c:v>
                </c:pt>
                <c:pt idx="147">
                  <c:v>44743</c:v>
                </c:pt>
                <c:pt idx="148">
                  <c:v>44774</c:v>
                </c:pt>
                <c:pt idx="149">
                  <c:v>44805</c:v>
                </c:pt>
                <c:pt idx="150">
                  <c:v>44835</c:v>
                </c:pt>
                <c:pt idx="151">
                  <c:v>44866</c:v>
                </c:pt>
                <c:pt idx="152">
                  <c:v>44896</c:v>
                </c:pt>
              </c:numCache>
            </c:numRef>
          </c:cat>
          <c:val>
            <c:numRef>
              <c:f>'[Diana SC.xlsx]Beta'!$B$2:$B$154</c:f>
              <c:numCache>
                <c:formatCode>General</c:formatCode>
                <c:ptCount val="153"/>
                <c:pt idx="0">
                  <c:v>1.1157924260618359</c:v>
                </c:pt>
                <c:pt idx="1">
                  <c:v>1.1256352048360074</c:v>
                </c:pt>
                <c:pt idx="2">
                  <c:v>1.1704477089048775</c:v>
                </c:pt>
                <c:pt idx="3">
                  <c:v>1.2455856094998627</c:v>
                </c:pt>
                <c:pt idx="4">
                  <c:v>1.2581825840215135</c:v>
                </c:pt>
                <c:pt idx="5">
                  <c:v>1.214225120742402</c:v>
                </c:pt>
                <c:pt idx="6">
                  <c:v>1.2147805426347387</c:v>
                </c:pt>
                <c:pt idx="7">
                  <c:v>1.237547917070251</c:v>
                </c:pt>
                <c:pt idx="8">
                  <c:v>1.1751353523306602</c:v>
                </c:pt>
                <c:pt idx="9">
                  <c:v>1.2446541258380384</c:v>
                </c:pt>
                <c:pt idx="10">
                  <c:v>1.2443030475876709</c:v>
                </c:pt>
                <c:pt idx="11">
                  <c:v>1.2431547694280991</c:v>
                </c:pt>
                <c:pt idx="12">
                  <c:v>1.2353681033682158</c:v>
                </c:pt>
                <c:pt idx="13">
                  <c:v>1.2263305708164376</c:v>
                </c:pt>
                <c:pt idx="14">
                  <c:v>1.2289947279997466</c:v>
                </c:pt>
                <c:pt idx="15">
                  <c:v>1.2506873446549618</c:v>
                </c:pt>
                <c:pt idx="16">
                  <c:v>1.2273944621168229</c:v>
                </c:pt>
                <c:pt idx="17">
                  <c:v>1.2483801331091318</c:v>
                </c:pt>
                <c:pt idx="18">
                  <c:v>1.1993790341997632</c:v>
                </c:pt>
                <c:pt idx="19">
                  <c:v>1.2017630351228974</c:v>
                </c:pt>
                <c:pt idx="20">
                  <c:v>1.2016596411854696</c:v>
                </c:pt>
                <c:pt idx="21">
                  <c:v>1.2101074698359648</c:v>
                </c:pt>
                <c:pt idx="22">
                  <c:v>1.2232956456204822</c:v>
                </c:pt>
                <c:pt idx="23">
                  <c:v>1.2219519309593008</c:v>
                </c:pt>
                <c:pt idx="24">
                  <c:v>1.2219466008001469</c:v>
                </c:pt>
                <c:pt idx="25">
                  <c:v>1.1963266428993897</c:v>
                </c:pt>
                <c:pt idx="26">
                  <c:v>1.1903995929774103</c:v>
                </c:pt>
                <c:pt idx="27">
                  <c:v>1.2781727041699296</c:v>
                </c:pt>
                <c:pt idx="28">
                  <c:v>1.2790115281630889</c:v>
                </c:pt>
                <c:pt idx="29">
                  <c:v>1.2718008748773451</c:v>
                </c:pt>
                <c:pt idx="30">
                  <c:v>1.2177980276127764</c:v>
                </c:pt>
                <c:pt idx="31">
                  <c:v>1.2007610970833988</c:v>
                </c:pt>
                <c:pt idx="32">
                  <c:v>1.1949850555777821</c:v>
                </c:pt>
                <c:pt idx="33">
                  <c:v>1.2308166766190309</c:v>
                </c:pt>
                <c:pt idx="34">
                  <c:v>1.2350352787231873</c:v>
                </c:pt>
                <c:pt idx="35">
                  <c:v>1.2611414270556274</c:v>
                </c:pt>
                <c:pt idx="36">
                  <c:v>1.2515355026564756</c:v>
                </c:pt>
                <c:pt idx="37">
                  <c:v>1.2409813405505143</c:v>
                </c:pt>
                <c:pt idx="38">
                  <c:v>1.2373953437024321</c:v>
                </c:pt>
                <c:pt idx="39">
                  <c:v>1.2221748050356562</c:v>
                </c:pt>
                <c:pt idx="40">
                  <c:v>1.2079885646253961</c:v>
                </c:pt>
                <c:pt idx="41">
                  <c:v>1.1541516537584817</c:v>
                </c:pt>
                <c:pt idx="42">
                  <c:v>1.2404862312363281</c:v>
                </c:pt>
                <c:pt idx="43">
                  <c:v>1.0445696400872189</c:v>
                </c:pt>
                <c:pt idx="44">
                  <c:v>0.97413765194284174</c:v>
                </c:pt>
                <c:pt idx="45">
                  <c:v>1.0871558084739743</c:v>
                </c:pt>
                <c:pt idx="46">
                  <c:v>1.115096252598796</c:v>
                </c:pt>
                <c:pt idx="47">
                  <c:v>1.1533046176512201</c:v>
                </c:pt>
                <c:pt idx="48">
                  <c:v>1.0091892766723578</c:v>
                </c:pt>
                <c:pt idx="49">
                  <c:v>0.99896217499649154</c:v>
                </c:pt>
                <c:pt idx="50">
                  <c:v>0.98769928839109489</c:v>
                </c:pt>
                <c:pt idx="51">
                  <c:v>1.0073231638849309</c:v>
                </c:pt>
                <c:pt idx="52">
                  <c:v>1.0283451942272899</c:v>
                </c:pt>
                <c:pt idx="53">
                  <c:v>1.0774203630787189</c:v>
                </c:pt>
                <c:pt idx="54">
                  <c:v>1.0831313220373495</c:v>
                </c:pt>
                <c:pt idx="55">
                  <c:v>1.0716525546591782</c:v>
                </c:pt>
                <c:pt idx="56">
                  <c:v>1.1168617785746975</c:v>
                </c:pt>
                <c:pt idx="57">
                  <c:v>1.0967296532401476</c:v>
                </c:pt>
                <c:pt idx="58">
                  <c:v>1.0925619893115168</c:v>
                </c:pt>
                <c:pt idx="59">
                  <c:v>1.0806183162916514</c:v>
                </c:pt>
                <c:pt idx="60">
                  <c:v>1.0710887190962093</c:v>
                </c:pt>
                <c:pt idx="61">
                  <c:v>1.0654486534955527</c:v>
                </c:pt>
                <c:pt idx="62">
                  <c:v>1.0157931839613294</c:v>
                </c:pt>
                <c:pt idx="63">
                  <c:v>0.94803151212595493</c:v>
                </c:pt>
                <c:pt idx="64">
                  <c:v>0.95208213365581273</c:v>
                </c:pt>
                <c:pt idx="65">
                  <c:v>0.97375099591737213</c:v>
                </c:pt>
                <c:pt idx="66">
                  <c:v>0.93762909881120493</c:v>
                </c:pt>
                <c:pt idx="67">
                  <c:v>0.89788445051730359</c:v>
                </c:pt>
                <c:pt idx="68">
                  <c:v>0.99550602611157213</c:v>
                </c:pt>
                <c:pt idx="69">
                  <c:v>1.2212779365423503</c:v>
                </c:pt>
                <c:pt idx="70">
                  <c:v>1.2069997974303341</c:v>
                </c:pt>
                <c:pt idx="71">
                  <c:v>1.2076952265463274</c:v>
                </c:pt>
                <c:pt idx="72">
                  <c:v>1.2369452380101973</c:v>
                </c:pt>
                <c:pt idx="73">
                  <c:v>1.2214614049022239</c:v>
                </c:pt>
                <c:pt idx="74">
                  <c:v>1.2262427021490219</c:v>
                </c:pt>
                <c:pt idx="75">
                  <c:v>1.2230296524219555</c:v>
                </c:pt>
                <c:pt idx="76">
                  <c:v>1.2675476576525333</c:v>
                </c:pt>
                <c:pt idx="77">
                  <c:v>1.2454127909426336</c:v>
                </c:pt>
                <c:pt idx="78">
                  <c:v>1.3025031440193267</c:v>
                </c:pt>
                <c:pt idx="79">
                  <c:v>1.3700981671977386</c:v>
                </c:pt>
                <c:pt idx="80">
                  <c:v>1.369821607744393</c:v>
                </c:pt>
                <c:pt idx="81">
                  <c:v>1.3203980185035891</c:v>
                </c:pt>
                <c:pt idx="82">
                  <c:v>1.3026460015241708</c:v>
                </c:pt>
                <c:pt idx="83">
                  <c:v>1.2847978597726666</c:v>
                </c:pt>
                <c:pt idx="84">
                  <c:v>1.2613817327738319</c:v>
                </c:pt>
                <c:pt idx="85">
                  <c:v>1.3286256634171631</c:v>
                </c:pt>
                <c:pt idx="86">
                  <c:v>1.3531582618700198</c:v>
                </c:pt>
                <c:pt idx="87">
                  <c:v>1.3262908778291691</c:v>
                </c:pt>
                <c:pt idx="88">
                  <c:v>1.3205417173516187</c:v>
                </c:pt>
                <c:pt idx="89">
                  <c:v>1.2504499303217496</c:v>
                </c:pt>
                <c:pt idx="90">
                  <c:v>1.3017844690308586</c:v>
                </c:pt>
                <c:pt idx="91">
                  <c:v>1.3005495011891592</c:v>
                </c:pt>
                <c:pt idx="92">
                  <c:v>1.3052606295929272</c:v>
                </c:pt>
                <c:pt idx="93">
                  <c:v>1.2183010500145559</c:v>
                </c:pt>
                <c:pt idx="94">
                  <c:v>1.1794564966737593</c:v>
                </c:pt>
                <c:pt idx="95">
                  <c:v>1.0946838011314648</c:v>
                </c:pt>
                <c:pt idx="96">
                  <c:v>1.0826185530311949</c:v>
                </c:pt>
                <c:pt idx="97">
                  <c:v>1.1617149003783409</c:v>
                </c:pt>
                <c:pt idx="98">
                  <c:v>1.1603146425976547</c:v>
                </c:pt>
                <c:pt idx="99">
                  <c:v>1.2114972355075102</c:v>
                </c:pt>
                <c:pt idx="100">
                  <c:v>1.2549657076174303</c:v>
                </c:pt>
                <c:pt idx="101">
                  <c:v>1.216196412241872</c:v>
                </c:pt>
                <c:pt idx="102">
                  <c:v>1.1433897191662779</c:v>
                </c:pt>
                <c:pt idx="103">
                  <c:v>1.140675010159496</c:v>
                </c:pt>
                <c:pt idx="104">
                  <c:v>1.0373275522656071</c:v>
                </c:pt>
                <c:pt idx="105">
                  <c:v>0.88300808320227997</c:v>
                </c:pt>
                <c:pt idx="106">
                  <c:v>0.82200705260891749</c:v>
                </c:pt>
                <c:pt idx="107">
                  <c:v>0.7917100458226507</c:v>
                </c:pt>
                <c:pt idx="108">
                  <c:v>0.81358320029484021</c:v>
                </c:pt>
                <c:pt idx="109">
                  <c:v>0.80045461925450334</c:v>
                </c:pt>
                <c:pt idx="110">
                  <c:v>0.84032332054137726</c:v>
                </c:pt>
                <c:pt idx="111">
                  <c:v>0.82119376044185322</c:v>
                </c:pt>
                <c:pt idx="112">
                  <c:v>0.76815282222078241</c:v>
                </c:pt>
                <c:pt idx="113">
                  <c:v>0.7166396559959245</c:v>
                </c:pt>
                <c:pt idx="114">
                  <c:v>0.77104055929319926</c:v>
                </c:pt>
                <c:pt idx="115">
                  <c:v>0.74635677442151493</c:v>
                </c:pt>
                <c:pt idx="116">
                  <c:v>0.74533367172209131</c:v>
                </c:pt>
                <c:pt idx="117">
                  <c:v>0.78936698270947947</c:v>
                </c:pt>
                <c:pt idx="118">
                  <c:v>0.84711799155595036</c:v>
                </c:pt>
                <c:pt idx="119">
                  <c:v>1.009176461163237</c:v>
                </c:pt>
                <c:pt idx="120">
                  <c:v>1.1180523030679608</c:v>
                </c:pt>
                <c:pt idx="121">
                  <c:v>1.0169094258566551</c:v>
                </c:pt>
                <c:pt idx="122">
                  <c:v>1.0288568837328067</c:v>
                </c:pt>
                <c:pt idx="123">
                  <c:v>1.0284935993782509</c:v>
                </c:pt>
                <c:pt idx="124">
                  <c:v>1.0287786894327959</c:v>
                </c:pt>
                <c:pt idx="125">
                  <c:v>1.0317915523710453</c:v>
                </c:pt>
                <c:pt idx="126">
                  <c:v>1.0446576920390376</c:v>
                </c:pt>
                <c:pt idx="127">
                  <c:v>1.1154489973125465</c:v>
                </c:pt>
                <c:pt idx="128">
                  <c:v>1.1383836417963302</c:v>
                </c:pt>
                <c:pt idx="129">
                  <c:v>1.0097373246788839</c:v>
                </c:pt>
                <c:pt idx="130">
                  <c:v>1.0834385919645144</c:v>
                </c:pt>
                <c:pt idx="131">
                  <c:v>1.0912917740502432</c:v>
                </c:pt>
                <c:pt idx="132">
                  <c:v>1.0968922544183133</c:v>
                </c:pt>
                <c:pt idx="133">
                  <c:v>1.0955785612485704</c:v>
                </c:pt>
                <c:pt idx="134">
                  <c:v>1.0936100683638013</c:v>
                </c:pt>
                <c:pt idx="135">
                  <c:v>1.1236545322589744</c:v>
                </c:pt>
                <c:pt idx="136">
                  <c:v>1.1315201116645581</c:v>
                </c:pt>
                <c:pt idx="137">
                  <c:v>1.0987316664211586</c:v>
                </c:pt>
                <c:pt idx="138">
                  <c:v>1.073729575641662</c:v>
                </c:pt>
                <c:pt idx="139">
                  <c:v>1.0266408012295571</c:v>
                </c:pt>
                <c:pt idx="140">
                  <c:v>1.0234325557654151</c:v>
                </c:pt>
                <c:pt idx="141">
                  <c:v>1.0289663493912045</c:v>
                </c:pt>
                <c:pt idx="142">
                  <c:v>1.0355063166219427</c:v>
                </c:pt>
                <c:pt idx="143">
                  <c:v>1.0445257611518801</c:v>
                </c:pt>
                <c:pt idx="144">
                  <c:v>1.0645954670660323</c:v>
                </c:pt>
                <c:pt idx="145">
                  <c:v>1.0496550390752386</c:v>
                </c:pt>
                <c:pt idx="146">
                  <c:v>1.1109871547936516</c:v>
                </c:pt>
                <c:pt idx="147">
                  <c:v>1.1318412086672267</c:v>
                </c:pt>
                <c:pt idx="148">
                  <c:v>1.1492095714970565</c:v>
                </c:pt>
                <c:pt idx="149">
                  <c:v>1.2465510440515748</c:v>
                </c:pt>
                <c:pt idx="150">
                  <c:v>1.2656685694492131</c:v>
                </c:pt>
                <c:pt idx="151">
                  <c:v>1.2572316857938097</c:v>
                </c:pt>
                <c:pt idx="152">
                  <c:v>1.2583721672267854</c:v>
                </c:pt>
              </c:numCache>
            </c:numRef>
          </c:val>
          <c:smooth val="0"/>
          <c:extLst>
            <c:ext xmlns:c16="http://schemas.microsoft.com/office/drawing/2014/chart" uri="{C3380CC4-5D6E-409C-BE32-E72D297353CC}">
              <c16:uniqueId val="{00000000-C4C1-41A0-A771-5BB35149A15F}"/>
            </c:ext>
          </c:extLst>
        </c:ser>
        <c:dLbls>
          <c:showLegendKey val="0"/>
          <c:showVal val="0"/>
          <c:showCatName val="0"/>
          <c:showSerName val="0"/>
          <c:showPercent val="0"/>
          <c:showBubbleSize val="0"/>
        </c:dLbls>
        <c:smooth val="0"/>
        <c:axId val="360005999"/>
        <c:axId val="360006831"/>
      </c:lineChart>
      <c:dateAx>
        <c:axId val="360005999"/>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0006831"/>
        <c:crosses val="autoZero"/>
        <c:auto val="1"/>
        <c:lblOffset val="100"/>
        <c:baseTimeUnit val="months"/>
      </c:dateAx>
      <c:valAx>
        <c:axId val="3600068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00059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0">
                <a:solidFill>
                  <a:schemeClr val="accent6"/>
                </a:solidFill>
              </a:rPr>
              <a:t>Diana Shipping Share Price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cat>
            <c:numRef>
              <c:f>'[Price History_20221205_0426.xlsx]Sheet1'!$A$1:$A$213</c:f>
              <c:numCache>
                <c:formatCode>m/d/yyyy</c:formatCode>
                <c:ptCount val="213"/>
                <c:pt idx="0">
                  <c:v>38472</c:v>
                </c:pt>
                <c:pt idx="1">
                  <c:v>38503</c:v>
                </c:pt>
                <c:pt idx="2">
                  <c:v>38533</c:v>
                </c:pt>
                <c:pt idx="3">
                  <c:v>38564</c:v>
                </c:pt>
                <c:pt idx="4">
                  <c:v>38595</c:v>
                </c:pt>
                <c:pt idx="5">
                  <c:v>38625</c:v>
                </c:pt>
                <c:pt idx="6">
                  <c:v>38656</c:v>
                </c:pt>
                <c:pt idx="7">
                  <c:v>38686</c:v>
                </c:pt>
                <c:pt idx="8">
                  <c:v>38717</c:v>
                </c:pt>
                <c:pt idx="9">
                  <c:v>38748</c:v>
                </c:pt>
                <c:pt idx="10">
                  <c:v>38776</c:v>
                </c:pt>
                <c:pt idx="11">
                  <c:v>38807</c:v>
                </c:pt>
                <c:pt idx="12">
                  <c:v>38837</c:v>
                </c:pt>
                <c:pt idx="13">
                  <c:v>38868</c:v>
                </c:pt>
                <c:pt idx="14">
                  <c:v>38898</c:v>
                </c:pt>
                <c:pt idx="15">
                  <c:v>38929</c:v>
                </c:pt>
                <c:pt idx="16">
                  <c:v>38960</c:v>
                </c:pt>
                <c:pt idx="17">
                  <c:v>38990</c:v>
                </c:pt>
                <c:pt idx="18">
                  <c:v>39021</c:v>
                </c:pt>
                <c:pt idx="19">
                  <c:v>39051</c:v>
                </c:pt>
                <c:pt idx="20">
                  <c:v>39082</c:v>
                </c:pt>
                <c:pt idx="21">
                  <c:v>39113</c:v>
                </c:pt>
                <c:pt idx="22">
                  <c:v>39141</c:v>
                </c:pt>
                <c:pt idx="23">
                  <c:v>39172</c:v>
                </c:pt>
                <c:pt idx="24">
                  <c:v>39202</c:v>
                </c:pt>
                <c:pt idx="25">
                  <c:v>39233</c:v>
                </c:pt>
                <c:pt idx="26">
                  <c:v>39263</c:v>
                </c:pt>
                <c:pt idx="27">
                  <c:v>39294</c:v>
                </c:pt>
                <c:pt idx="28">
                  <c:v>39325</c:v>
                </c:pt>
                <c:pt idx="29">
                  <c:v>39355</c:v>
                </c:pt>
                <c:pt idx="30">
                  <c:v>39386</c:v>
                </c:pt>
                <c:pt idx="31">
                  <c:v>39416</c:v>
                </c:pt>
                <c:pt idx="32">
                  <c:v>39447</c:v>
                </c:pt>
                <c:pt idx="33">
                  <c:v>39478</c:v>
                </c:pt>
                <c:pt idx="34">
                  <c:v>39507</c:v>
                </c:pt>
                <c:pt idx="35">
                  <c:v>39538</c:v>
                </c:pt>
                <c:pt idx="36">
                  <c:v>39568</c:v>
                </c:pt>
                <c:pt idx="37">
                  <c:v>39599</c:v>
                </c:pt>
                <c:pt idx="38">
                  <c:v>39629</c:v>
                </c:pt>
                <c:pt idx="39">
                  <c:v>39660</c:v>
                </c:pt>
                <c:pt idx="40">
                  <c:v>39691</c:v>
                </c:pt>
                <c:pt idx="41">
                  <c:v>39721</c:v>
                </c:pt>
                <c:pt idx="42">
                  <c:v>39752</c:v>
                </c:pt>
                <c:pt idx="43">
                  <c:v>39782</c:v>
                </c:pt>
                <c:pt idx="44">
                  <c:v>39813</c:v>
                </c:pt>
                <c:pt idx="45">
                  <c:v>39844</c:v>
                </c:pt>
                <c:pt idx="46">
                  <c:v>39872</c:v>
                </c:pt>
                <c:pt idx="47">
                  <c:v>39903</c:v>
                </c:pt>
                <c:pt idx="48">
                  <c:v>39933</c:v>
                </c:pt>
                <c:pt idx="49">
                  <c:v>39964</c:v>
                </c:pt>
                <c:pt idx="50">
                  <c:v>39994</c:v>
                </c:pt>
                <c:pt idx="51">
                  <c:v>40025</c:v>
                </c:pt>
                <c:pt idx="52">
                  <c:v>40056</c:v>
                </c:pt>
                <c:pt idx="53">
                  <c:v>40086</c:v>
                </c:pt>
                <c:pt idx="54">
                  <c:v>40117</c:v>
                </c:pt>
                <c:pt idx="55">
                  <c:v>40147</c:v>
                </c:pt>
                <c:pt idx="56">
                  <c:v>40178</c:v>
                </c:pt>
                <c:pt idx="57">
                  <c:v>40209</c:v>
                </c:pt>
                <c:pt idx="58">
                  <c:v>40237</c:v>
                </c:pt>
                <c:pt idx="59">
                  <c:v>40268</c:v>
                </c:pt>
                <c:pt idx="60">
                  <c:v>40298</c:v>
                </c:pt>
                <c:pt idx="61">
                  <c:v>40329</c:v>
                </c:pt>
                <c:pt idx="62">
                  <c:v>40359</c:v>
                </c:pt>
                <c:pt idx="63">
                  <c:v>40390</c:v>
                </c:pt>
                <c:pt idx="64">
                  <c:v>40421</c:v>
                </c:pt>
                <c:pt idx="65">
                  <c:v>40451</c:v>
                </c:pt>
                <c:pt idx="66">
                  <c:v>40482</c:v>
                </c:pt>
                <c:pt idx="67">
                  <c:v>40512</c:v>
                </c:pt>
                <c:pt idx="68">
                  <c:v>40543</c:v>
                </c:pt>
                <c:pt idx="69">
                  <c:v>40574</c:v>
                </c:pt>
                <c:pt idx="70">
                  <c:v>40602</c:v>
                </c:pt>
                <c:pt idx="71">
                  <c:v>40633</c:v>
                </c:pt>
                <c:pt idx="72">
                  <c:v>40663</c:v>
                </c:pt>
                <c:pt idx="73">
                  <c:v>40694</c:v>
                </c:pt>
                <c:pt idx="74">
                  <c:v>40724</c:v>
                </c:pt>
                <c:pt idx="75">
                  <c:v>40755</c:v>
                </c:pt>
                <c:pt idx="76">
                  <c:v>40786</c:v>
                </c:pt>
                <c:pt idx="77">
                  <c:v>40816</c:v>
                </c:pt>
                <c:pt idx="78">
                  <c:v>40847</c:v>
                </c:pt>
                <c:pt idx="79">
                  <c:v>40877</c:v>
                </c:pt>
                <c:pt idx="80">
                  <c:v>40908</c:v>
                </c:pt>
                <c:pt idx="81">
                  <c:v>40939</c:v>
                </c:pt>
                <c:pt idx="82">
                  <c:v>40968</c:v>
                </c:pt>
                <c:pt idx="83">
                  <c:v>40999</c:v>
                </c:pt>
                <c:pt idx="84">
                  <c:v>41029</c:v>
                </c:pt>
                <c:pt idx="85">
                  <c:v>41060</c:v>
                </c:pt>
                <c:pt idx="86">
                  <c:v>41090</c:v>
                </c:pt>
                <c:pt idx="87">
                  <c:v>41121</c:v>
                </c:pt>
                <c:pt idx="88">
                  <c:v>41152</c:v>
                </c:pt>
                <c:pt idx="89">
                  <c:v>41182</c:v>
                </c:pt>
                <c:pt idx="90">
                  <c:v>41213</c:v>
                </c:pt>
                <c:pt idx="91">
                  <c:v>41243</c:v>
                </c:pt>
                <c:pt idx="92">
                  <c:v>41274</c:v>
                </c:pt>
                <c:pt idx="93">
                  <c:v>41305</c:v>
                </c:pt>
                <c:pt idx="94">
                  <c:v>41333</c:v>
                </c:pt>
                <c:pt idx="95">
                  <c:v>41364</c:v>
                </c:pt>
                <c:pt idx="96">
                  <c:v>41394</c:v>
                </c:pt>
                <c:pt idx="97">
                  <c:v>41425</c:v>
                </c:pt>
                <c:pt idx="98">
                  <c:v>41455</c:v>
                </c:pt>
                <c:pt idx="99">
                  <c:v>41486</c:v>
                </c:pt>
                <c:pt idx="100">
                  <c:v>41517</c:v>
                </c:pt>
                <c:pt idx="101">
                  <c:v>41547</c:v>
                </c:pt>
                <c:pt idx="102">
                  <c:v>41578</c:v>
                </c:pt>
                <c:pt idx="103">
                  <c:v>41608</c:v>
                </c:pt>
                <c:pt idx="104">
                  <c:v>41639</c:v>
                </c:pt>
                <c:pt idx="105">
                  <c:v>41670</c:v>
                </c:pt>
                <c:pt idx="106">
                  <c:v>41698</c:v>
                </c:pt>
                <c:pt idx="107">
                  <c:v>41729</c:v>
                </c:pt>
                <c:pt idx="108">
                  <c:v>41759</c:v>
                </c:pt>
                <c:pt idx="109">
                  <c:v>41790</c:v>
                </c:pt>
                <c:pt idx="110">
                  <c:v>41820</c:v>
                </c:pt>
                <c:pt idx="111">
                  <c:v>41851</c:v>
                </c:pt>
                <c:pt idx="112">
                  <c:v>41882</c:v>
                </c:pt>
                <c:pt idx="113">
                  <c:v>41912</c:v>
                </c:pt>
                <c:pt idx="114">
                  <c:v>41943</c:v>
                </c:pt>
                <c:pt idx="115">
                  <c:v>41973</c:v>
                </c:pt>
                <c:pt idx="116">
                  <c:v>42004</c:v>
                </c:pt>
                <c:pt idx="117">
                  <c:v>42035</c:v>
                </c:pt>
                <c:pt idx="118">
                  <c:v>42063</c:v>
                </c:pt>
                <c:pt idx="119">
                  <c:v>42094</c:v>
                </c:pt>
                <c:pt idx="120">
                  <c:v>42124</c:v>
                </c:pt>
                <c:pt idx="121">
                  <c:v>42155</c:v>
                </c:pt>
                <c:pt idx="122">
                  <c:v>42185</c:v>
                </c:pt>
                <c:pt idx="123">
                  <c:v>42216</c:v>
                </c:pt>
                <c:pt idx="124">
                  <c:v>42247</c:v>
                </c:pt>
                <c:pt idx="125">
                  <c:v>42277</c:v>
                </c:pt>
                <c:pt idx="126">
                  <c:v>42308</c:v>
                </c:pt>
                <c:pt idx="127">
                  <c:v>42338</c:v>
                </c:pt>
                <c:pt idx="128">
                  <c:v>42369</c:v>
                </c:pt>
                <c:pt idx="129">
                  <c:v>42400</c:v>
                </c:pt>
                <c:pt idx="130">
                  <c:v>42429</c:v>
                </c:pt>
                <c:pt idx="131">
                  <c:v>42460</c:v>
                </c:pt>
                <c:pt idx="132">
                  <c:v>42490</c:v>
                </c:pt>
                <c:pt idx="133">
                  <c:v>42521</c:v>
                </c:pt>
                <c:pt idx="134">
                  <c:v>42551</c:v>
                </c:pt>
                <c:pt idx="135">
                  <c:v>42582</c:v>
                </c:pt>
                <c:pt idx="136">
                  <c:v>42613</c:v>
                </c:pt>
                <c:pt idx="137">
                  <c:v>42643</c:v>
                </c:pt>
                <c:pt idx="138">
                  <c:v>42674</c:v>
                </c:pt>
                <c:pt idx="139">
                  <c:v>42704</c:v>
                </c:pt>
                <c:pt idx="140">
                  <c:v>42735</c:v>
                </c:pt>
                <c:pt idx="141">
                  <c:v>42766</c:v>
                </c:pt>
                <c:pt idx="142">
                  <c:v>42794</c:v>
                </c:pt>
                <c:pt idx="143">
                  <c:v>42825</c:v>
                </c:pt>
                <c:pt idx="144">
                  <c:v>42855</c:v>
                </c:pt>
                <c:pt idx="145">
                  <c:v>42886</c:v>
                </c:pt>
                <c:pt idx="146">
                  <c:v>42916</c:v>
                </c:pt>
                <c:pt idx="147">
                  <c:v>42947</c:v>
                </c:pt>
                <c:pt idx="148">
                  <c:v>42978</c:v>
                </c:pt>
                <c:pt idx="149">
                  <c:v>43008</c:v>
                </c:pt>
                <c:pt idx="150">
                  <c:v>43039</c:v>
                </c:pt>
                <c:pt idx="151">
                  <c:v>43069</c:v>
                </c:pt>
                <c:pt idx="152">
                  <c:v>43100</c:v>
                </c:pt>
                <c:pt idx="153">
                  <c:v>43131</c:v>
                </c:pt>
                <c:pt idx="154">
                  <c:v>43159</c:v>
                </c:pt>
                <c:pt idx="155">
                  <c:v>43190</c:v>
                </c:pt>
                <c:pt idx="156">
                  <c:v>43220</c:v>
                </c:pt>
                <c:pt idx="157">
                  <c:v>43251</c:v>
                </c:pt>
                <c:pt idx="158">
                  <c:v>43281</c:v>
                </c:pt>
                <c:pt idx="159">
                  <c:v>43312</c:v>
                </c:pt>
                <c:pt idx="160">
                  <c:v>43343</c:v>
                </c:pt>
                <c:pt idx="161">
                  <c:v>43373</c:v>
                </c:pt>
                <c:pt idx="162">
                  <c:v>43404</c:v>
                </c:pt>
                <c:pt idx="163">
                  <c:v>43434</c:v>
                </c:pt>
                <c:pt idx="164">
                  <c:v>43465</c:v>
                </c:pt>
                <c:pt idx="165">
                  <c:v>43496</c:v>
                </c:pt>
                <c:pt idx="166">
                  <c:v>43524</c:v>
                </c:pt>
                <c:pt idx="167">
                  <c:v>43555</c:v>
                </c:pt>
                <c:pt idx="168">
                  <c:v>43585</c:v>
                </c:pt>
                <c:pt idx="169">
                  <c:v>43616</c:v>
                </c:pt>
                <c:pt idx="170">
                  <c:v>43646</c:v>
                </c:pt>
                <c:pt idx="171">
                  <c:v>43677</c:v>
                </c:pt>
                <c:pt idx="172">
                  <c:v>43708</c:v>
                </c:pt>
                <c:pt idx="173">
                  <c:v>43738</c:v>
                </c:pt>
                <c:pt idx="174">
                  <c:v>43769</c:v>
                </c:pt>
                <c:pt idx="175">
                  <c:v>43799</c:v>
                </c:pt>
                <c:pt idx="176">
                  <c:v>43830</c:v>
                </c:pt>
                <c:pt idx="177">
                  <c:v>43861</c:v>
                </c:pt>
                <c:pt idx="178">
                  <c:v>43890</c:v>
                </c:pt>
                <c:pt idx="179">
                  <c:v>43921</c:v>
                </c:pt>
                <c:pt idx="180">
                  <c:v>43951</c:v>
                </c:pt>
                <c:pt idx="181">
                  <c:v>43982</c:v>
                </c:pt>
                <c:pt idx="182">
                  <c:v>44012</c:v>
                </c:pt>
                <c:pt idx="183">
                  <c:v>44043</c:v>
                </c:pt>
                <c:pt idx="184">
                  <c:v>44074</c:v>
                </c:pt>
                <c:pt idx="185">
                  <c:v>44104</c:v>
                </c:pt>
                <c:pt idx="186">
                  <c:v>44135</c:v>
                </c:pt>
                <c:pt idx="187">
                  <c:v>44165</c:v>
                </c:pt>
                <c:pt idx="188">
                  <c:v>44196</c:v>
                </c:pt>
                <c:pt idx="189">
                  <c:v>44227</c:v>
                </c:pt>
                <c:pt idx="190">
                  <c:v>44255</c:v>
                </c:pt>
                <c:pt idx="191">
                  <c:v>44286</c:v>
                </c:pt>
                <c:pt idx="192">
                  <c:v>44316</c:v>
                </c:pt>
                <c:pt idx="193">
                  <c:v>44347</c:v>
                </c:pt>
                <c:pt idx="194">
                  <c:v>44377</c:v>
                </c:pt>
                <c:pt idx="195">
                  <c:v>44408</c:v>
                </c:pt>
                <c:pt idx="196">
                  <c:v>44439</c:v>
                </c:pt>
                <c:pt idx="197">
                  <c:v>44469</c:v>
                </c:pt>
                <c:pt idx="198">
                  <c:v>44500</c:v>
                </c:pt>
                <c:pt idx="199">
                  <c:v>44530</c:v>
                </c:pt>
                <c:pt idx="200">
                  <c:v>44561</c:v>
                </c:pt>
                <c:pt idx="201">
                  <c:v>44592</c:v>
                </c:pt>
                <c:pt idx="202">
                  <c:v>44620</c:v>
                </c:pt>
                <c:pt idx="203">
                  <c:v>44651</c:v>
                </c:pt>
                <c:pt idx="204">
                  <c:v>44681</c:v>
                </c:pt>
                <c:pt idx="205">
                  <c:v>44712</c:v>
                </c:pt>
                <c:pt idx="206">
                  <c:v>44742</c:v>
                </c:pt>
                <c:pt idx="207">
                  <c:v>44773</c:v>
                </c:pt>
                <c:pt idx="208">
                  <c:v>44804</c:v>
                </c:pt>
                <c:pt idx="209">
                  <c:v>44834</c:v>
                </c:pt>
                <c:pt idx="210">
                  <c:v>44865</c:v>
                </c:pt>
                <c:pt idx="211">
                  <c:v>44895</c:v>
                </c:pt>
                <c:pt idx="212">
                  <c:v>44926</c:v>
                </c:pt>
              </c:numCache>
            </c:numRef>
          </c:cat>
          <c:val>
            <c:numRef>
              <c:f>'[Price History_20221205_0426.xlsx]Sheet1'!$B$1:$B$213</c:f>
              <c:numCache>
                <c:formatCode>#,##0.00;\-#,##0.00;#,##0.00;"--"</c:formatCode>
                <c:ptCount val="213"/>
                <c:pt idx="0">
                  <c:v>11.442876</c:v>
                </c:pt>
                <c:pt idx="1">
                  <c:v>12.446637000000001</c:v>
                </c:pt>
                <c:pt idx="2">
                  <c:v>11.756049000000001</c:v>
                </c:pt>
                <c:pt idx="3">
                  <c:v>10.431084999999999</c:v>
                </c:pt>
                <c:pt idx="4">
                  <c:v>11.250154</c:v>
                </c:pt>
                <c:pt idx="5">
                  <c:v>13.249646</c:v>
                </c:pt>
                <c:pt idx="6">
                  <c:v>12.567088</c:v>
                </c:pt>
                <c:pt idx="7">
                  <c:v>11.226063999999999</c:v>
                </c:pt>
                <c:pt idx="8">
                  <c:v>10.326694</c:v>
                </c:pt>
                <c:pt idx="9">
                  <c:v>9.3550529999999998</c:v>
                </c:pt>
                <c:pt idx="10">
                  <c:v>9.3952030000000004</c:v>
                </c:pt>
                <c:pt idx="11">
                  <c:v>9.724437</c:v>
                </c:pt>
                <c:pt idx="12">
                  <c:v>9.5959559999999993</c:v>
                </c:pt>
                <c:pt idx="13">
                  <c:v>8.8090069999999994</c:v>
                </c:pt>
                <c:pt idx="14">
                  <c:v>8.6323450000000008</c:v>
                </c:pt>
                <c:pt idx="15">
                  <c:v>9.0017289999999992</c:v>
                </c:pt>
                <c:pt idx="16">
                  <c:v>10.302603</c:v>
                </c:pt>
                <c:pt idx="17">
                  <c:v>10.704108</c:v>
                </c:pt>
                <c:pt idx="18">
                  <c:v>12.004982</c:v>
                </c:pt>
                <c:pt idx="19">
                  <c:v>12.334216</c:v>
                </c:pt>
                <c:pt idx="20">
                  <c:v>12.69557</c:v>
                </c:pt>
                <c:pt idx="21">
                  <c:v>12.679510000000001</c:v>
                </c:pt>
                <c:pt idx="22">
                  <c:v>15.353529</c:v>
                </c:pt>
                <c:pt idx="23">
                  <c:v>14.140986</c:v>
                </c:pt>
                <c:pt idx="24">
                  <c:v>16.260929000000001</c:v>
                </c:pt>
                <c:pt idx="25">
                  <c:v>18.300571999999999</c:v>
                </c:pt>
                <c:pt idx="26">
                  <c:v>17.987397999999999</c:v>
                </c:pt>
                <c:pt idx="27">
                  <c:v>22.524398000000001</c:v>
                </c:pt>
                <c:pt idx="28">
                  <c:v>21.319884999999999</c:v>
                </c:pt>
                <c:pt idx="29">
                  <c:v>22.885752</c:v>
                </c:pt>
                <c:pt idx="30">
                  <c:v>34.368779000000004</c:v>
                </c:pt>
                <c:pt idx="31">
                  <c:v>28.434543000000001</c:v>
                </c:pt>
                <c:pt idx="32">
                  <c:v>25.262657999999998</c:v>
                </c:pt>
                <c:pt idx="33">
                  <c:v>23.696791000000001</c:v>
                </c:pt>
                <c:pt idx="34">
                  <c:v>22.885752</c:v>
                </c:pt>
                <c:pt idx="35">
                  <c:v>21.135193000000001</c:v>
                </c:pt>
                <c:pt idx="36">
                  <c:v>24.379349000000001</c:v>
                </c:pt>
                <c:pt idx="37">
                  <c:v>28.097280000000001</c:v>
                </c:pt>
                <c:pt idx="38">
                  <c:v>24.660402000000001</c:v>
                </c:pt>
                <c:pt idx="39">
                  <c:v>24.435559000000001</c:v>
                </c:pt>
                <c:pt idx="40">
                  <c:v>22.789390999999998</c:v>
                </c:pt>
                <c:pt idx="41">
                  <c:v>15.811244</c:v>
                </c:pt>
                <c:pt idx="42">
                  <c:v>13.354037</c:v>
                </c:pt>
                <c:pt idx="43">
                  <c:v>7.098598</c:v>
                </c:pt>
                <c:pt idx="44">
                  <c:v>10.246392999999999</c:v>
                </c:pt>
                <c:pt idx="45">
                  <c:v>10.671988000000001</c:v>
                </c:pt>
                <c:pt idx="46">
                  <c:v>9.4192940000000007</c:v>
                </c:pt>
                <c:pt idx="47">
                  <c:v>9.4674739999999993</c:v>
                </c:pt>
                <c:pt idx="48">
                  <c:v>12.607239</c:v>
                </c:pt>
                <c:pt idx="49">
                  <c:v>14.478249</c:v>
                </c:pt>
                <c:pt idx="50">
                  <c:v>10.696078</c:v>
                </c:pt>
                <c:pt idx="51">
                  <c:v>11.434846</c:v>
                </c:pt>
                <c:pt idx="52">
                  <c:v>10.431084999999999</c:v>
                </c:pt>
                <c:pt idx="53">
                  <c:v>10.439114999999999</c:v>
                </c:pt>
                <c:pt idx="54">
                  <c:v>10.374874</c:v>
                </c:pt>
                <c:pt idx="55">
                  <c:v>12.486788000000001</c:v>
                </c:pt>
                <c:pt idx="56">
                  <c:v>11.627568</c:v>
                </c:pt>
                <c:pt idx="57">
                  <c:v>10.647897</c:v>
                </c:pt>
                <c:pt idx="58">
                  <c:v>11.169853</c:v>
                </c:pt>
                <c:pt idx="59">
                  <c:v>12.141494</c:v>
                </c:pt>
                <c:pt idx="60">
                  <c:v>12.302096000000001</c:v>
                </c:pt>
                <c:pt idx="61">
                  <c:v>10.8888</c:v>
                </c:pt>
                <c:pt idx="62">
                  <c:v>9.0418800000000008</c:v>
                </c:pt>
                <c:pt idx="63">
                  <c:v>10.615777</c:v>
                </c:pt>
                <c:pt idx="64">
                  <c:v>9.5477749999999997</c:v>
                </c:pt>
                <c:pt idx="65">
                  <c:v>10.198212</c:v>
                </c:pt>
                <c:pt idx="66">
                  <c:v>10.961071</c:v>
                </c:pt>
                <c:pt idx="67">
                  <c:v>10.832589</c:v>
                </c:pt>
                <c:pt idx="68">
                  <c:v>9.6521659999999994</c:v>
                </c:pt>
                <c:pt idx="69">
                  <c:v>9.6749960000000002</c:v>
                </c:pt>
                <c:pt idx="70">
                  <c:v>10.383329</c:v>
                </c:pt>
                <c:pt idx="71">
                  <c:v>9.8666630000000008</c:v>
                </c:pt>
                <c:pt idx="72">
                  <c:v>9.3833300000000008</c:v>
                </c:pt>
                <c:pt idx="73">
                  <c:v>9.5749960000000005</c:v>
                </c:pt>
                <c:pt idx="74">
                  <c:v>9.1333300000000008</c:v>
                </c:pt>
                <c:pt idx="75">
                  <c:v>8.1666629999999998</c:v>
                </c:pt>
                <c:pt idx="76">
                  <c:v>7.6166640000000001</c:v>
                </c:pt>
                <c:pt idx="77">
                  <c:v>6.1833309999999999</c:v>
                </c:pt>
                <c:pt idx="78">
                  <c:v>6.8583309999999997</c:v>
                </c:pt>
                <c:pt idx="79">
                  <c:v>6.2416640000000001</c:v>
                </c:pt>
                <c:pt idx="80">
                  <c:v>6.2333309999999997</c:v>
                </c:pt>
                <c:pt idx="81">
                  <c:v>6.9499969999999998</c:v>
                </c:pt>
                <c:pt idx="82">
                  <c:v>7.6166640000000001</c:v>
                </c:pt>
                <c:pt idx="83">
                  <c:v>7.4583300000000001</c:v>
                </c:pt>
                <c:pt idx="84">
                  <c:v>6.5499970000000003</c:v>
                </c:pt>
                <c:pt idx="85">
                  <c:v>6.4166639999999999</c:v>
                </c:pt>
                <c:pt idx="86">
                  <c:v>6.4833309999999997</c:v>
                </c:pt>
                <c:pt idx="87">
                  <c:v>5.5666640000000003</c:v>
                </c:pt>
                <c:pt idx="88">
                  <c:v>5.5083310000000001</c:v>
                </c:pt>
                <c:pt idx="89">
                  <c:v>5.3833310000000001</c:v>
                </c:pt>
                <c:pt idx="90">
                  <c:v>5.9999979999999997</c:v>
                </c:pt>
                <c:pt idx="91">
                  <c:v>6.1916640000000003</c:v>
                </c:pt>
                <c:pt idx="92">
                  <c:v>6.0833310000000003</c:v>
                </c:pt>
                <c:pt idx="93">
                  <c:v>7.2666639999999996</c:v>
                </c:pt>
                <c:pt idx="94">
                  <c:v>7.0749969999999998</c:v>
                </c:pt>
                <c:pt idx="95">
                  <c:v>8.8833300000000008</c:v>
                </c:pt>
                <c:pt idx="96">
                  <c:v>7.9083300000000003</c:v>
                </c:pt>
                <c:pt idx="97">
                  <c:v>8.4416630000000001</c:v>
                </c:pt>
                <c:pt idx="98">
                  <c:v>8.3666630000000008</c:v>
                </c:pt>
                <c:pt idx="99">
                  <c:v>8.1916630000000001</c:v>
                </c:pt>
                <c:pt idx="100">
                  <c:v>9.0499960000000002</c:v>
                </c:pt>
                <c:pt idx="101">
                  <c:v>10.058329000000001</c:v>
                </c:pt>
                <c:pt idx="102">
                  <c:v>9.4499960000000005</c:v>
                </c:pt>
                <c:pt idx="103">
                  <c:v>9.5416629999999998</c:v>
                </c:pt>
                <c:pt idx="104">
                  <c:v>11.074996000000001</c:v>
                </c:pt>
                <c:pt idx="105">
                  <c:v>10.174996</c:v>
                </c:pt>
                <c:pt idx="106">
                  <c:v>10.849996000000001</c:v>
                </c:pt>
                <c:pt idx="107">
                  <c:v>9.9916630000000008</c:v>
                </c:pt>
                <c:pt idx="108">
                  <c:v>9.3833300000000008</c:v>
                </c:pt>
                <c:pt idx="109">
                  <c:v>9.0833300000000001</c:v>
                </c:pt>
                <c:pt idx="110">
                  <c:v>9.0749960000000005</c:v>
                </c:pt>
                <c:pt idx="111">
                  <c:v>8.1249970000000005</c:v>
                </c:pt>
                <c:pt idx="112">
                  <c:v>8.8666630000000008</c:v>
                </c:pt>
                <c:pt idx="113">
                  <c:v>7.4499969999999998</c:v>
                </c:pt>
                <c:pt idx="114">
                  <c:v>7.0416639999999999</c:v>
                </c:pt>
                <c:pt idx="115">
                  <c:v>6.2333309999999997</c:v>
                </c:pt>
                <c:pt idx="116">
                  <c:v>5.5916639999999997</c:v>
                </c:pt>
                <c:pt idx="117">
                  <c:v>5.5333310000000004</c:v>
                </c:pt>
                <c:pt idx="118">
                  <c:v>5.7749980000000001</c:v>
                </c:pt>
                <c:pt idx="119">
                  <c:v>5.0999980000000003</c:v>
                </c:pt>
                <c:pt idx="120">
                  <c:v>5.2083310000000003</c:v>
                </c:pt>
                <c:pt idx="121">
                  <c:v>5.3499980000000003</c:v>
                </c:pt>
                <c:pt idx="122">
                  <c:v>5.8749979999999997</c:v>
                </c:pt>
                <c:pt idx="123">
                  <c:v>6.2916639999999999</c:v>
                </c:pt>
                <c:pt idx="124">
                  <c:v>5.6666639999999999</c:v>
                </c:pt>
                <c:pt idx="125">
                  <c:v>5.3999980000000001</c:v>
                </c:pt>
                <c:pt idx="126">
                  <c:v>5.2583310000000001</c:v>
                </c:pt>
                <c:pt idx="127">
                  <c:v>3.958332</c:v>
                </c:pt>
                <c:pt idx="128">
                  <c:v>3.6249989999999999</c:v>
                </c:pt>
                <c:pt idx="129">
                  <c:v>2.0833330000000001</c:v>
                </c:pt>
                <c:pt idx="130">
                  <c:v>2.1083319999999999</c:v>
                </c:pt>
                <c:pt idx="131">
                  <c:v>2.2249989999999999</c:v>
                </c:pt>
                <c:pt idx="132">
                  <c:v>2.8833319999999998</c:v>
                </c:pt>
                <c:pt idx="133">
                  <c:v>2.1749990000000001</c:v>
                </c:pt>
                <c:pt idx="134">
                  <c:v>2.0249990000000002</c:v>
                </c:pt>
                <c:pt idx="135">
                  <c:v>2.1666660000000002</c:v>
                </c:pt>
                <c:pt idx="136">
                  <c:v>1.9083330000000001</c:v>
                </c:pt>
                <c:pt idx="137">
                  <c:v>2.1833320000000001</c:v>
                </c:pt>
                <c:pt idx="138">
                  <c:v>2.0833330000000001</c:v>
                </c:pt>
                <c:pt idx="139">
                  <c:v>2.4999989999999999</c:v>
                </c:pt>
                <c:pt idx="140">
                  <c:v>2.5166659999999998</c:v>
                </c:pt>
                <c:pt idx="141">
                  <c:v>3.449999</c:v>
                </c:pt>
                <c:pt idx="142">
                  <c:v>3.1833320000000001</c:v>
                </c:pt>
                <c:pt idx="143">
                  <c:v>3.8499979999999998</c:v>
                </c:pt>
                <c:pt idx="144">
                  <c:v>3.324999</c:v>
                </c:pt>
                <c:pt idx="145">
                  <c:v>3.1666650000000001</c:v>
                </c:pt>
                <c:pt idx="146">
                  <c:v>3.3833319999999998</c:v>
                </c:pt>
                <c:pt idx="147">
                  <c:v>3.2249989999999999</c:v>
                </c:pt>
                <c:pt idx="148">
                  <c:v>3.3083320000000001</c:v>
                </c:pt>
                <c:pt idx="149">
                  <c:v>3.0249990000000002</c:v>
                </c:pt>
                <c:pt idx="150">
                  <c:v>3.3666649999999998</c:v>
                </c:pt>
                <c:pt idx="151">
                  <c:v>3.3499989999999999</c:v>
                </c:pt>
                <c:pt idx="152">
                  <c:v>3.3916650000000002</c:v>
                </c:pt>
                <c:pt idx="153">
                  <c:v>3.1666650000000001</c:v>
                </c:pt>
                <c:pt idx="154">
                  <c:v>3.199999</c:v>
                </c:pt>
                <c:pt idx="155">
                  <c:v>3.0499990000000001</c:v>
                </c:pt>
                <c:pt idx="156">
                  <c:v>2.9916649999999998</c:v>
                </c:pt>
                <c:pt idx="157">
                  <c:v>3.6583320000000001</c:v>
                </c:pt>
                <c:pt idx="158">
                  <c:v>4.0083320000000002</c:v>
                </c:pt>
                <c:pt idx="159">
                  <c:v>3.7499989999999999</c:v>
                </c:pt>
                <c:pt idx="160">
                  <c:v>3.5499990000000001</c:v>
                </c:pt>
                <c:pt idx="161">
                  <c:v>3.4333320000000001</c:v>
                </c:pt>
                <c:pt idx="162">
                  <c:v>3.1749990000000001</c:v>
                </c:pt>
                <c:pt idx="163">
                  <c:v>2.8666659999999999</c:v>
                </c:pt>
                <c:pt idx="164">
                  <c:v>2.6499990000000002</c:v>
                </c:pt>
                <c:pt idx="165">
                  <c:v>2.449999</c:v>
                </c:pt>
                <c:pt idx="166">
                  <c:v>2.1916660000000001</c:v>
                </c:pt>
                <c:pt idx="167">
                  <c:v>2.3499989999999999</c:v>
                </c:pt>
                <c:pt idx="168">
                  <c:v>2.6499990000000002</c:v>
                </c:pt>
                <c:pt idx="169">
                  <c:v>2.4916659999999999</c:v>
                </c:pt>
                <c:pt idx="170">
                  <c:v>2.7583319999999998</c:v>
                </c:pt>
                <c:pt idx="171">
                  <c:v>2.7583319999999998</c:v>
                </c:pt>
                <c:pt idx="172">
                  <c:v>2.8083320000000001</c:v>
                </c:pt>
                <c:pt idx="173">
                  <c:v>2.8166660000000001</c:v>
                </c:pt>
                <c:pt idx="174">
                  <c:v>3.0583320000000001</c:v>
                </c:pt>
                <c:pt idx="175">
                  <c:v>2.8999990000000002</c:v>
                </c:pt>
                <c:pt idx="176">
                  <c:v>2.591666</c:v>
                </c:pt>
                <c:pt idx="177">
                  <c:v>2.199999</c:v>
                </c:pt>
                <c:pt idx="178">
                  <c:v>1.824999</c:v>
                </c:pt>
                <c:pt idx="179">
                  <c:v>1.233333</c:v>
                </c:pt>
                <c:pt idx="180">
                  <c:v>1.5666659999999999</c:v>
                </c:pt>
                <c:pt idx="181">
                  <c:v>1.1333329999999999</c:v>
                </c:pt>
                <c:pt idx="182">
                  <c:v>1.25</c:v>
                </c:pt>
                <c:pt idx="183">
                  <c:v>1.1583330000000001</c:v>
                </c:pt>
                <c:pt idx="184">
                  <c:v>1.216666</c:v>
                </c:pt>
                <c:pt idx="185">
                  <c:v>1.175</c:v>
                </c:pt>
                <c:pt idx="186">
                  <c:v>1.1333329999999999</c:v>
                </c:pt>
                <c:pt idx="187">
                  <c:v>1.3916660000000001</c:v>
                </c:pt>
                <c:pt idx="188">
                  <c:v>1.608333</c:v>
                </c:pt>
                <c:pt idx="189">
                  <c:v>1.8166659999999999</c:v>
                </c:pt>
                <c:pt idx="190">
                  <c:v>2.5333320000000001</c:v>
                </c:pt>
                <c:pt idx="191">
                  <c:v>2.4916659999999999</c:v>
                </c:pt>
                <c:pt idx="192">
                  <c:v>3.1166649999999998</c:v>
                </c:pt>
                <c:pt idx="193">
                  <c:v>3.7249989999999999</c:v>
                </c:pt>
                <c:pt idx="194">
                  <c:v>4.3416649999999999</c:v>
                </c:pt>
                <c:pt idx="195">
                  <c:v>3.6166649999999998</c:v>
                </c:pt>
                <c:pt idx="196">
                  <c:v>4.1416649999999997</c:v>
                </c:pt>
                <c:pt idx="197">
                  <c:v>4.7666649999999997</c:v>
                </c:pt>
                <c:pt idx="198">
                  <c:v>4.1749980000000004</c:v>
                </c:pt>
                <c:pt idx="199">
                  <c:v>4.2</c:v>
                </c:pt>
                <c:pt idx="200">
                  <c:v>3.89</c:v>
                </c:pt>
                <c:pt idx="201">
                  <c:v>3.55</c:v>
                </c:pt>
                <c:pt idx="202">
                  <c:v>4.9800000000000004</c:v>
                </c:pt>
                <c:pt idx="203">
                  <c:v>5.4</c:v>
                </c:pt>
                <c:pt idx="204">
                  <c:v>4.66</c:v>
                </c:pt>
                <c:pt idx="205">
                  <c:v>6.34</c:v>
                </c:pt>
                <c:pt idx="206">
                  <c:v>4.79</c:v>
                </c:pt>
                <c:pt idx="207">
                  <c:v>5.65</c:v>
                </c:pt>
                <c:pt idx="208">
                  <c:v>4.8499999999999996</c:v>
                </c:pt>
                <c:pt idx="209">
                  <c:v>3.61</c:v>
                </c:pt>
                <c:pt idx="210">
                  <c:v>4.32</c:v>
                </c:pt>
                <c:pt idx="211">
                  <c:v>3.57</c:v>
                </c:pt>
                <c:pt idx="212">
                  <c:v>3.59</c:v>
                </c:pt>
              </c:numCache>
            </c:numRef>
          </c:val>
          <c:smooth val="0"/>
          <c:extLst>
            <c:ext xmlns:c16="http://schemas.microsoft.com/office/drawing/2014/chart" uri="{C3380CC4-5D6E-409C-BE32-E72D297353CC}">
              <c16:uniqueId val="{00000000-157A-44F8-8383-949F88FD5E9D}"/>
            </c:ext>
          </c:extLst>
        </c:ser>
        <c:dLbls>
          <c:showLegendKey val="0"/>
          <c:showVal val="0"/>
          <c:showCatName val="0"/>
          <c:showSerName val="0"/>
          <c:showPercent val="0"/>
          <c:showBubbleSize val="0"/>
        </c:dLbls>
        <c:smooth val="0"/>
        <c:axId val="1367020319"/>
        <c:axId val="1367024479"/>
      </c:lineChart>
      <c:dateAx>
        <c:axId val="1367020319"/>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7024479"/>
        <c:crosses val="autoZero"/>
        <c:auto val="1"/>
        <c:lblOffset val="100"/>
        <c:baseTimeUnit val="months"/>
      </c:dateAx>
      <c:valAx>
        <c:axId val="1367024479"/>
        <c:scaling>
          <c:orientation val="minMax"/>
        </c:scaling>
        <c:delete val="0"/>
        <c:axPos val="l"/>
        <c:majorGridlines>
          <c:spPr>
            <a:ln w="9525" cap="flat" cmpd="sng" algn="ctr">
              <a:solidFill>
                <a:schemeClr val="tx1">
                  <a:lumMod val="15000"/>
                  <a:lumOff val="85000"/>
                </a:schemeClr>
              </a:solidFill>
              <a:round/>
            </a:ln>
            <a:effectLst/>
          </c:spPr>
        </c:majorGridlines>
        <c:numFmt formatCode="#,##0.00;\-#,##0.00;#,##0.00;&quot;--&quot;"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702031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0">
                <a:solidFill>
                  <a:schemeClr val="accent6"/>
                </a:solidFill>
              </a:rPr>
              <a:t>5-Year</a:t>
            </a:r>
            <a:r>
              <a:rPr lang="en-IN" b="0" baseline="0">
                <a:solidFill>
                  <a:schemeClr val="accent6"/>
                </a:solidFill>
              </a:rPr>
              <a:t> Rolling </a:t>
            </a:r>
            <a:r>
              <a:rPr lang="en-IN" b="0">
                <a:solidFill>
                  <a:schemeClr val="accent6"/>
                </a:solidFill>
              </a:rPr>
              <a:t>Beta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'[Diana SC.xlsx]Beta'!$B$1</c:f>
              <c:strCache>
                <c:ptCount val="1"/>
                <c:pt idx="0">
                  <c:v>Beta</c:v>
                </c:pt>
              </c:strCache>
            </c:strRef>
          </c:tx>
          <c:spPr>
            <a:ln w="28575" cap="rnd">
              <a:solidFill>
                <a:schemeClr val="accent1"/>
              </a:solidFill>
              <a:round/>
            </a:ln>
            <a:effectLst/>
          </c:spPr>
          <c:marker>
            <c:symbol val="none"/>
          </c:marker>
          <c:cat>
            <c:numRef>
              <c:f>'[Diana SC.xlsx]Beta'!$A$2:$A$154</c:f>
              <c:numCache>
                <c:formatCode>m/d/yyyy</c:formatCode>
                <c:ptCount val="153"/>
                <c:pt idx="0">
                  <c:v>40269</c:v>
                </c:pt>
                <c:pt idx="1">
                  <c:v>40299</c:v>
                </c:pt>
                <c:pt idx="2">
                  <c:v>40330</c:v>
                </c:pt>
                <c:pt idx="3">
                  <c:v>40360</c:v>
                </c:pt>
                <c:pt idx="4">
                  <c:v>40391</c:v>
                </c:pt>
                <c:pt idx="5">
                  <c:v>40422</c:v>
                </c:pt>
                <c:pt idx="6">
                  <c:v>40452</c:v>
                </c:pt>
                <c:pt idx="7">
                  <c:v>40483</c:v>
                </c:pt>
                <c:pt idx="8">
                  <c:v>40513</c:v>
                </c:pt>
                <c:pt idx="9">
                  <c:v>40544</c:v>
                </c:pt>
                <c:pt idx="10">
                  <c:v>40575</c:v>
                </c:pt>
                <c:pt idx="11">
                  <c:v>40603</c:v>
                </c:pt>
                <c:pt idx="12">
                  <c:v>40634</c:v>
                </c:pt>
                <c:pt idx="13">
                  <c:v>40664</c:v>
                </c:pt>
                <c:pt idx="14">
                  <c:v>40695</c:v>
                </c:pt>
                <c:pt idx="15">
                  <c:v>40725</c:v>
                </c:pt>
                <c:pt idx="16">
                  <c:v>40756</c:v>
                </c:pt>
                <c:pt idx="17">
                  <c:v>40787</c:v>
                </c:pt>
                <c:pt idx="18">
                  <c:v>40817</c:v>
                </c:pt>
                <c:pt idx="19">
                  <c:v>40848</c:v>
                </c:pt>
                <c:pt idx="20">
                  <c:v>40878</c:v>
                </c:pt>
                <c:pt idx="21">
                  <c:v>40909</c:v>
                </c:pt>
                <c:pt idx="22">
                  <c:v>40940</c:v>
                </c:pt>
                <c:pt idx="23">
                  <c:v>40969</c:v>
                </c:pt>
                <c:pt idx="24">
                  <c:v>41000</c:v>
                </c:pt>
                <c:pt idx="25">
                  <c:v>41030</c:v>
                </c:pt>
                <c:pt idx="26">
                  <c:v>41061</c:v>
                </c:pt>
                <c:pt idx="27">
                  <c:v>41091</c:v>
                </c:pt>
                <c:pt idx="28">
                  <c:v>41122</c:v>
                </c:pt>
                <c:pt idx="29">
                  <c:v>41153</c:v>
                </c:pt>
                <c:pt idx="30">
                  <c:v>41183</c:v>
                </c:pt>
                <c:pt idx="31">
                  <c:v>41214</c:v>
                </c:pt>
                <c:pt idx="32">
                  <c:v>41244</c:v>
                </c:pt>
                <c:pt idx="33">
                  <c:v>41275</c:v>
                </c:pt>
                <c:pt idx="34">
                  <c:v>41306</c:v>
                </c:pt>
                <c:pt idx="35">
                  <c:v>41334</c:v>
                </c:pt>
                <c:pt idx="36">
                  <c:v>41365</c:v>
                </c:pt>
                <c:pt idx="37">
                  <c:v>41395</c:v>
                </c:pt>
                <c:pt idx="38">
                  <c:v>41426</c:v>
                </c:pt>
                <c:pt idx="39">
                  <c:v>41456</c:v>
                </c:pt>
                <c:pt idx="40">
                  <c:v>41487</c:v>
                </c:pt>
                <c:pt idx="41">
                  <c:v>41518</c:v>
                </c:pt>
                <c:pt idx="42">
                  <c:v>41548</c:v>
                </c:pt>
                <c:pt idx="43">
                  <c:v>41579</c:v>
                </c:pt>
                <c:pt idx="44">
                  <c:v>41609</c:v>
                </c:pt>
                <c:pt idx="45">
                  <c:v>41640</c:v>
                </c:pt>
                <c:pt idx="46">
                  <c:v>41671</c:v>
                </c:pt>
                <c:pt idx="47">
                  <c:v>41699</c:v>
                </c:pt>
                <c:pt idx="48">
                  <c:v>41730</c:v>
                </c:pt>
                <c:pt idx="49">
                  <c:v>41760</c:v>
                </c:pt>
                <c:pt idx="50">
                  <c:v>41791</c:v>
                </c:pt>
                <c:pt idx="51">
                  <c:v>41821</c:v>
                </c:pt>
                <c:pt idx="52">
                  <c:v>41852</c:v>
                </c:pt>
                <c:pt idx="53">
                  <c:v>41883</c:v>
                </c:pt>
                <c:pt idx="54">
                  <c:v>41913</c:v>
                </c:pt>
                <c:pt idx="55">
                  <c:v>41944</c:v>
                </c:pt>
                <c:pt idx="56">
                  <c:v>41974</c:v>
                </c:pt>
                <c:pt idx="57">
                  <c:v>42005</c:v>
                </c:pt>
                <c:pt idx="58">
                  <c:v>42036</c:v>
                </c:pt>
                <c:pt idx="59">
                  <c:v>42064</c:v>
                </c:pt>
                <c:pt idx="60">
                  <c:v>42095</c:v>
                </c:pt>
                <c:pt idx="61">
                  <c:v>42125</c:v>
                </c:pt>
                <c:pt idx="62">
                  <c:v>42156</c:v>
                </c:pt>
                <c:pt idx="63">
                  <c:v>42186</c:v>
                </c:pt>
                <c:pt idx="64">
                  <c:v>42217</c:v>
                </c:pt>
                <c:pt idx="65">
                  <c:v>42248</c:v>
                </c:pt>
                <c:pt idx="66">
                  <c:v>42278</c:v>
                </c:pt>
                <c:pt idx="67">
                  <c:v>42309</c:v>
                </c:pt>
                <c:pt idx="68">
                  <c:v>42339</c:v>
                </c:pt>
                <c:pt idx="69">
                  <c:v>42370</c:v>
                </c:pt>
                <c:pt idx="70">
                  <c:v>42401</c:v>
                </c:pt>
                <c:pt idx="71">
                  <c:v>42430</c:v>
                </c:pt>
                <c:pt idx="72">
                  <c:v>42461</c:v>
                </c:pt>
                <c:pt idx="73">
                  <c:v>42491</c:v>
                </c:pt>
                <c:pt idx="74">
                  <c:v>42522</c:v>
                </c:pt>
                <c:pt idx="75">
                  <c:v>42552</c:v>
                </c:pt>
                <c:pt idx="76">
                  <c:v>42583</c:v>
                </c:pt>
                <c:pt idx="77">
                  <c:v>42614</c:v>
                </c:pt>
                <c:pt idx="78">
                  <c:v>42644</c:v>
                </c:pt>
                <c:pt idx="79">
                  <c:v>42675</c:v>
                </c:pt>
                <c:pt idx="80">
                  <c:v>42705</c:v>
                </c:pt>
                <c:pt idx="81">
                  <c:v>42736</c:v>
                </c:pt>
                <c:pt idx="82">
                  <c:v>42767</c:v>
                </c:pt>
                <c:pt idx="83">
                  <c:v>42795</c:v>
                </c:pt>
                <c:pt idx="84">
                  <c:v>42826</c:v>
                </c:pt>
                <c:pt idx="85">
                  <c:v>42856</c:v>
                </c:pt>
                <c:pt idx="86">
                  <c:v>42887</c:v>
                </c:pt>
                <c:pt idx="87">
                  <c:v>42917</c:v>
                </c:pt>
                <c:pt idx="88">
                  <c:v>42948</c:v>
                </c:pt>
                <c:pt idx="89">
                  <c:v>42979</c:v>
                </c:pt>
                <c:pt idx="90">
                  <c:v>43009</c:v>
                </c:pt>
                <c:pt idx="91">
                  <c:v>43040</c:v>
                </c:pt>
                <c:pt idx="92">
                  <c:v>43070</c:v>
                </c:pt>
                <c:pt idx="93">
                  <c:v>43101</c:v>
                </c:pt>
                <c:pt idx="94">
                  <c:v>43132</c:v>
                </c:pt>
                <c:pt idx="95">
                  <c:v>43160</c:v>
                </c:pt>
                <c:pt idx="96">
                  <c:v>43191</c:v>
                </c:pt>
                <c:pt idx="97">
                  <c:v>43221</c:v>
                </c:pt>
                <c:pt idx="98">
                  <c:v>43252</c:v>
                </c:pt>
                <c:pt idx="99">
                  <c:v>43282</c:v>
                </c:pt>
                <c:pt idx="100">
                  <c:v>43313</c:v>
                </c:pt>
                <c:pt idx="101">
                  <c:v>43344</c:v>
                </c:pt>
                <c:pt idx="102">
                  <c:v>43374</c:v>
                </c:pt>
                <c:pt idx="103">
                  <c:v>43405</c:v>
                </c:pt>
                <c:pt idx="104">
                  <c:v>43435</c:v>
                </c:pt>
                <c:pt idx="105">
                  <c:v>43466</c:v>
                </c:pt>
                <c:pt idx="106">
                  <c:v>43497</c:v>
                </c:pt>
                <c:pt idx="107">
                  <c:v>43525</c:v>
                </c:pt>
                <c:pt idx="108">
                  <c:v>43556</c:v>
                </c:pt>
                <c:pt idx="109">
                  <c:v>43586</c:v>
                </c:pt>
                <c:pt idx="110">
                  <c:v>43617</c:v>
                </c:pt>
                <c:pt idx="111">
                  <c:v>43647</c:v>
                </c:pt>
                <c:pt idx="112">
                  <c:v>43678</c:v>
                </c:pt>
                <c:pt idx="113">
                  <c:v>43709</c:v>
                </c:pt>
                <c:pt idx="114">
                  <c:v>43739</c:v>
                </c:pt>
                <c:pt idx="115">
                  <c:v>43770</c:v>
                </c:pt>
                <c:pt idx="116">
                  <c:v>43800</c:v>
                </c:pt>
                <c:pt idx="117">
                  <c:v>43831</c:v>
                </c:pt>
                <c:pt idx="118">
                  <c:v>43862</c:v>
                </c:pt>
                <c:pt idx="119">
                  <c:v>43891</c:v>
                </c:pt>
                <c:pt idx="120">
                  <c:v>43922</c:v>
                </c:pt>
                <c:pt idx="121">
                  <c:v>43952</c:v>
                </c:pt>
                <c:pt idx="122">
                  <c:v>43983</c:v>
                </c:pt>
                <c:pt idx="123">
                  <c:v>44013</c:v>
                </c:pt>
                <c:pt idx="124">
                  <c:v>44044</c:v>
                </c:pt>
                <c:pt idx="125">
                  <c:v>44075</c:v>
                </c:pt>
                <c:pt idx="126">
                  <c:v>44105</c:v>
                </c:pt>
                <c:pt idx="127">
                  <c:v>44136</c:v>
                </c:pt>
                <c:pt idx="128">
                  <c:v>44166</c:v>
                </c:pt>
                <c:pt idx="129">
                  <c:v>44197</c:v>
                </c:pt>
                <c:pt idx="130">
                  <c:v>44228</c:v>
                </c:pt>
                <c:pt idx="131">
                  <c:v>44256</c:v>
                </c:pt>
                <c:pt idx="132">
                  <c:v>44287</c:v>
                </c:pt>
                <c:pt idx="133">
                  <c:v>44317</c:v>
                </c:pt>
                <c:pt idx="134">
                  <c:v>44348</c:v>
                </c:pt>
                <c:pt idx="135">
                  <c:v>44378</c:v>
                </c:pt>
                <c:pt idx="136">
                  <c:v>44409</c:v>
                </c:pt>
                <c:pt idx="137">
                  <c:v>44440</c:v>
                </c:pt>
                <c:pt idx="138">
                  <c:v>44470</c:v>
                </c:pt>
                <c:pt idx="139">
                  <c:v>44501</c:v>
                </c:pt>
                <c:pt idx="140">
                  <c:v>44531</c:v>
                </c:pt>
                <c:pt idx="141">
                  <c:v>44562</c:v>
                </c:pt>
                <c:pt idx="142">
                  <c:v>44593</c:v>
                </c:pt>
                <c:pt idx="143">
                  <c:v>44621</c:v>
                </c:pt>
                <c:pt idx="144">
                  <c:v>44652</c:v>
                </c:pt>
                <c:pt idx="145">
                  <c:v>44682</c:v>
                </c:pt>
                <c:pt idx="146">
                  <c:v>44713</c:v>
                </c:pt>
                <c:pt idx="147">
                  <c:v>44743</c:v>
                </c:pt>
                <c:pt idx="148">
                  <c:v>44774</c:v>
                </c:pt>
                <c:pt idx="149">
                  <c:v>44805</c:v>
                </c:pt>
                <c:pt idx="150">
                  <c:v>44835</c:v>
                </c:pt>
                <c:pt idx="151">
                  <c:v>44866</c:v>
                </c:pt>
                <c:pt idx="152">
                  <c:v>44896</c:v>
                </c:pt>
              </c:numCache>
            </c:numRef>
          </c:cat>
          <c:val>
            <c:numRef>
              <c:f>'[Diana SC.xlsx]Beta'!$B$2:$B$154</c:f>
              <c:numCache>
                <c:formatCode>General</c:formatCode>
                <c:ptCount val="153"/>
                <c:pt idx="0">
                  <c:v>1.1157924260618359</c:v>
                </c:pt>
                <c:pt idx="1">
                  <c:v>1.1256352048360074</c:v>
                </c:pt>
                <c:pt idx="2">
                  <c:v>1.1704477089048775</c:v>
                </c:pt>
                <c:pt idx="3">
                  <c:v>1.2455856094998627</c:v>
                </c:pt>
                <c:pt idx="4">
                  <c:v>1.2581825840215135</c:v>
                </c:pt>
                <c:pt idx="5">
                  <c:v>1.214225120742402</c:v>
                </c:pt>
                <c:pt idx="6">
                  <c:v>1.2147805426347387</c:v>
                </c:pt>
                <c:pt idx="7">
                  <c:v>1.237547917070251</c:v>
                </c:pt>
                <c:pt idx="8">
                  <c:v>1.1751353523306602</c:v>
                </c:pt>
                <c:pt idx="9">
                  <c:v>1.2446541258380384</c:v>
                </c:pt>
                <c:pt idx="10">
                  <c:v>1.2443030475876709</c:v>
                </c:pt>
                <c:pt idx="11">
                  <c:v>1.2431547694280991</c:v>
                </c:pt>
                <c:pt idx="12">
                  <c:v>1.2353681033682158</c:v>
                </c:pt>
                <c:pt idx="13">
                  <c:v>1.2263305708164376</c:v>
                </c:pt>
                <c:pt idx="14">
                  <c:v>1.2289947279997466</c:v>
                </c:pt>
                <c:pt idx="15">
                  <c:v>1.2506873446549618</c:v>
                </c:pt>
                <c:pt idx="16">
                  <c:v>1.2273944621168229</c:v>
                </c:pt>
                <c:pt idx="17">
                  <c:v>1.2483801331091318</c:v>
                </c:pt>
                <c:pt idx="18">
                  <c:v>1.1993790341997632</c:v>
                </c:pt>
                <c:pt idx="19">
                  <c:v>1.2017630351228974</c:v>
                </c:pt>
                <c:pt idx="20">
                  <c:v>1.2016596411854696</c:v>
                </c:pt>
                <c:pt idx="21">
                  <c:v>1.2101074698359648</c:v>
                </c:pt>
                <c:pt idx="22">
                  <c:v>1.2232956456204822</c:v>
                </c:pt>
                <c:pt idx="23">
                  <c:v>1.2219519309593008</c:v>
                </c:pt>
                <c:pt idx="24">
                  <c:v>1.2219466008001469</c:v>
                </c:pt>
                <c:pt idx="25">
                  <c:v>1.1963266428993897</c:v>
                </c:pt>
                <c:pt idx="26">
                  <c:v>1.1903995929774103</c:v>
                </c:pt>
                <c:pt idx="27">
                  <c:v>1.2781727041699296</c:v>
                </c:pt>
                <c:pt idx="28">
                  <c:v>1.2790115281630889</c:v>
                </c:pt>
                <c:pt idx="29">
                  <c:v>1.2718008748773451</c:v>
                </c:pt>
                <c:pt idx="30">
                  <c:v>1.2177980276127764</c:v>
                </c:pt>
                <c:pt idx="31">
                  <c:v>1.2007610970833988</c:v>
                </c:pt>
                <c:pt idx="32">
                  <c:v>1.1949850555777821</c:v>
                </c:pt>
                <c:pt idx="33">
                  <c:v>1.2308166766190309</c:v>
                </c:pt>
                <c:pt idx="34">
                  <c:v>1.2350352787231873</c:v>
                </c:pt>
                <c:pt idx="35">
                  <c:v>1.2611414270556274</c:v>
                </c:pt>
                <c:pt idx="36">
                  <c:v>1.2515355026564756</c:v>
                </c:pt>
                <c:pt idx="37">
                  <c:v>1.2409813405505143</c:v>
                </c:pt>
                <c:pt idx="38">
                  <c:v>1.2373953437024321</c:v>
                </c:pt>
                <c:pt idx="39">
                  <c:v>1.2221748050356562</c:v>
                </c:pt>
                <c:pt idx="40">
                  <c:v>1.2079885646253961</c:v>
                </c:pt>
                <c:pt idx="41">
                  <c:v>1.1541516537584817</c:v>
                </c:pt>
                <c:pt idx="42">
                  <c:v>1.2404862312363281</c:v>
                </c:pt>
                <c:pt idx="43">
                  <c:v>1.0445696400872189</c:v>
                </c:pt>
                <c:pt idx="44">
                  <c:v>0.97413765194284174</c:v>
                </c:pt>
                <c:pt idx="45">
                  <c:v>1.0871558084739743</c:v>
                </c:pt>
                <c:pt idx="46">
                  <c:v>1.115096252598796</c:v>
                </c:pt>
                <c:pt idx="47">
                  <c:v>1.1533046176512201</c:v>
                </c:pt>
                <c:pt idx="48">
                  <c:v>1.0091892766723578</c:v>
                </c:pt>
                <c:pt idx="49">
                  <c:v>0.99896217499649154</c:v>
                </c:pt>
                <c:pt idx="50">
                  <c:v>0.98769928839109489</c:v>
                </c:pt>
                <c:pt idx="51">
                  <c:v>1.0073231638849309</c:v>
                </c:pt>
                <c:pt idx="52">
                  <c:v>1.0283451942272899</c:v>
                </c:pt>
                <c:pt idx="53">
                  <c:v>1.0774203630787189</c:v>
                </c:pt>
                <c:pt idx="54">
                  <c:v>1.0831313220373495</c:v>
                </c:pt>
                <c:pt idx="55">
                  <c:v>1.0716525546591782</c:v>
                </c:pt>
                <c:pt idx="56">
                  <c:v>1.1168617785746975</c:v>
                </c:pt>
                <c:pt idx="57">
                  <c:v>1.0967296532401476</c:v>
                </c:pt>
                <c:pt idx="58">
                  <c:v>1.0925619893115168</c:v>
                </c:pt>
                <c:pt idx="59">
                  <c:v>1.0806183162916514</c:v>
                </c:pt>
                <c:pt idx="60">
                  <c:v>1.0710887190962093</c:v>
                </c:pt>
                <c:pt idx="61">
                  <c:v>1.0654486534955527</c:v>
                </c:pt>
                <c:pt idx="62">
                  <c:v>1.0157931839613294</c:v>
                </c:pt>
                <c:pt idx="63">
                  <c:v>0.94803151212595493</c:v>
                </c:pt>
                <c:pt idx="64">
                  <c:v>0.95208213365581273</c:v>
                </c:pt>
                <c:pt idx="65">
                  <c:v>0.97375099591737213</c:v>
                </c:pt>
                <c:pt idx="66">
                  <c:v>0.93762909881120493</c:v>
                </c:pt>
                <c:pt idx="67">
                  <c:v>0.89788445051730359</c:v>
                </c:pt>
                <c:pt idx="68">
                  <c:v>0.99550602611157213</c:v>
                </c:pt>
                <c:pt idx="69">
                  <c:v>1.2212779365423503</c:v>
                </c:pt>
                <c:pt idx="70">
                  <c:v>1.2069997974303341</c:v>
                </c:pt>
                <c:pt idx="71">
                  <c:v>1.2076952265463274</c:v>
                </c:pt>
                <c:pt idx="72">
                  <c:v>1.2369452380101973</c:v>
                </c:pt>
                <c:pt idx="73">
                  <c:v>1.2214614049022239</c:v>
                </c:pt>
                <c:pt idx="74">
                  <c:v>1.2262427021490219</c:v>
                </c:pt>
                <c:pt idx="75">
                  <c:v>1.2230296524219555</c:v>
                </c:pt>
                <c:pt idx="76">
                  <c:v>1.2675476576525333</c:v>
                </c:pt>
                <c:pt idx="77">
                  <c:v>1.2454127909426336</c:v>
                </c:pt>
                <c:pt idx="78">
                  <c:v>1.3025031440193267</c:v>
                </c:pt>
                <c:pt idx="79">
                  <c:v>1.3700981671977386</c:v>
                </c:pt>
                <c:pt idx="80">
                  <c:v>1.369821607744393</c:v>
                </c:pt>
                <c:pt idx="81">
                  <c:v>1.3203980185035891</c:v>
                </c:pt>
                <c:pt idx="82">
                  <c:v>1.3026460015241708</c:v>
                </c:pt>
                <c:pt idx="83">
                  <c:v>1.2847978597726666</c:v>
                </c:pt>
                <c:pt idx="84">
                  <c:v>1.2613817327738319</c:v>
                </c:pt>
                <c:pt idx="85">
                  <c:v>1.3286256634171631</c:v>
                </c:pt>
                <c:pt idx="86">
                  <c:v>1.3531582618700198</c:v>
                </c:pt>
                <c:pt idx="87">
                  <c:v>1.3262908778291691</c:v>
                </c:pt>
                <c:pt idx="88">
                  <c:v>1.3205417173516187</c:v>
                </c:pt>
                <c:pt idx="89">
                  <c:v>1.2504499303217496</c:v>
                </c:pt>
                <c:pt idx="90">
                  <c:v>1.3017844690308586</c:v>
                </c:pt>
                <c:pt idx="91">
                  <c:v>1.3005495011891592</c:v>
                </c:pt>
                <c:pt idx="92">
                  <c:v>1.3052606295929272</c:v>
                </c:pt>
                <c:pt idx="93">
                  <c:v>1.2183010500145559</c:v>
                </c:pt>
                <c:pt idx="94">
                  <c:v>1.1794564966737593</c:v>
                </c:pt>
                <c:pt idx="95">
                  <c:v>1.0946838011314648</c:v>
                </c:pt>
                <c:pt idx="96">
                  <c:v>1.0826185530311949</c:v>
                </c:pt>
                <c:pt idx="97">
                  <c:v>1.1617149003783409</c:v>
                </c:pt>
                <c:pt idx="98">
                  <c:v>1.1603146425976547</c:v>
                </c:pt>
                <c:pt idx="99">
                  <c:v>1.2114972355075102</c:v>
                </c:pt>
                <c:pt idx="100">
                  <c:v>1.2549657076174303</c:v>
                </c:pt>
                <c:pt idx="101">
                  <c:v>1.216196412241872</c:v>
                </c:pt>
                <c:pt idx="102">
                  <c:v>1.1433897191662779</c:v>
                </c:pt>
                <c:pt idx="103">
                  <c:v>1.140675010159496</c:v>
                </c:pt>
                <c:pt idx="104">
                  <c:v>1.0373275522656071</c:v>
                </c:pt>
                <c:pt idx="105">
                  <c:v>0.88300808320227997</c:v>
                </c:pt>
                <c:pt idx="106">
                  <c:v>0.82200705260891749</c:v>
                </c:pt>
                <c:pt idx="107">
                  <c:v>0.7917100458226507</c:v>
                </c:pt>
                <c:pt idx="108">
                  <c:v>0.81358320029484021</c:v>
                </c:pt>
                <c:pt idx="109">
                  <c:v>0.80045461925450334</c:v>
                </c:pt>
                <c:pt idx="110">
                  <c:v>0.84032332054137726</c:v>
                </c:pt>
                <c:pt idx="111">
                  <c:v>0.82119376044185322</c:v>
                </c:pt>
                <c:pt idx="112">
                  <c:v>0.76815282222078241</c:v>
                </c:pt>
                <c:pt idx="113">
                  <c:v>0.7166396559959245</c:v>
                </c:pt>
                <c:pt idx="114">
                  <c:v>0.77104055929319926</c:v>
                </c:pt>
                <c:pt idx="115">
                  <c:v>0.74635677442151493</c:v>
                </c:pt>
                <c:pt idx="116">
                  <c:v>0.74533367172209131</c:v>
                </c:pt>
                <c:pt idx="117">
                  <c:v>0.78936698270947947</c:v>
                </c:pt>
                <c:pt idx="118">
                  <c:v>0.84711799155595036</c:v>
                </c:pt>
                <c:pt idx="119">
                  <c:v>1.009176461163237</c:v>
                </c:pt>
                <c:pt idx="120">
                  <c:v>1.1180523030679608</c:v>
                </c:pt>
                <c:pt idx="121">
                  <c:v>1.0169094258566551</c:v>
                </c:pt>
                <c:pt idx="122">
                  <c:v>1.0288568837328067</c:v>
                </c:pt>
                <c:pt idx="123">
                  <c:v>1.0284935993782509</c:v>
                </c:pt>
                <c:pt idx="124">
                  <c:v>1.0287786894327959</c:v>
                </c:pt>
                <c:pt idx="125">
                  <c:v>1.0317915523710453</c:v>
                </c:pt>
                <c:pt idx="126">
                  <c:v>1.0446576920390376</c:v>
                </c:pt>
                <c:pt idx="127">
                  <c:v>1.1154489973125465</c:v>
                </c:pt>
                <c:pt idx="128">
                  <c:v>1.1383836417963302</c:v>
                </c:pt>
                <c:pt idx="129">
                  <c:v>1.0097373246788839</c:v>
                </c:pt>
                <c:pt idx="130">
                  <c:v>1.0834385919645144</c:v>
                </c:pt>
                <c:pt idx="131">
                  <c:v>1.0912917740502432</c:v>
                </c:pt>
                <c:pt idx="132">
                  <c:v>1.0968922544183133</c:v>
                </c:pt>
                <c:pt idx="133">
                  <c:v>1.0955785612485704</c:v>
                </c:pt>
                <c:pt idx="134">
                  <c:v>1.0936100683638013</c:v>
                </c:pt>
                <c:pt idx="135">
                  <c:v>1.1236545322589744</c:v>
                </c:pt>
                <c:pt idx="136">
                  <c:v>1.1315201116645581</c:v>
                </c:pt>
                <c:pt idx="137">
                  <c:v>1.0987316664211586</c:v>
                </c:pt>
                <c:pt idx="138">
                  <c:v>1.073729575641662</c:v>
                </c:pt>
                <c:pt idx="139">
                  <c:v>1.0266408012295571</c:v>
                </c:pt>
                <c:pt idx="140">
                  <c:v>1.0234325557654151</c:v>
                </c:pt>
                <c:pt idx="141">
                  <c:v>1.0289663493912045</c:v>
                </c:pt>
                <c:pt idx="142">
                  <c:v>1.0355063166219427</c:v>
                </c:pt>
                <c:pt idx="143">
                  <c:v>1.0445257611518801</c:v>
                </c:pt>
                <c:pt idx="144">
                  <c:v>1.0645954670660323</c:v>
                </c:pt>
                <c:pt idx="145">
                  <c:v>1.0496550390752386</c:v>
                </c:pt>
                <c:pt idx="146">
                  <c:v>1.1109871547936516</c:v>
                </c:pt>
                <c:pt idx="147">
                  <c:v>1.1318412086672267</c:v>
                </c:pt>
                <c:pt idx="148">
                  <c:v>1.1492095714970565</c:v>
                </c:pt>
                <c:pt idx="149">
                  <c:v>1.2465510440515748</c:v>
                </c:pt>
                <c:pt idx="150">
                  <c:v>1.2656685694492131</c:v>
                </c:pt>
                <c:pt idx="151">
                  <c:v>1.2572316857938097</c:v>
                </c:pt>
                <c:pt idx="152">
                  <c:v>1.2583721672267854</c:v>
                </c:pt>
              </c:numCache>
            </c:numRef>
          </c:val>
          <c:smooth val="0"/>
          <c:extLst>
            <c:ext xmlns:c16="http://schemas.microsoft.com/office/drawing/2014/chart" uri="{C3380CC4-5D6E-409C-BE32-E72D297353CC}">
              <c16:uniqueId val="{00000000-B1B2-414B-AAF8-F39791F7D3F3}"/>
            </c:ext>
          </c:extLst>
        </c:ser>
        <c:dLbls>
          <c:showLegendKey val="0"/>
          <c:showVal val="0"/>
          <c:showCatName val="0"/>
          <c:showSerName val="0"/>
          <c:showPercent val="0"/>
          <c:showBubbleSize val="0"/>
        </c:dLbls>
        <c:smooth val="0"/>
        <c:axId val="360005999"/>
        <c:axId val="360006831"/>
      </c:lineChart>
      <c:dateAx>
        <c:axId val="360005999"/>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0006831"/>
        <c:crosses val="autoZero"/>
        <c:auto val="1"/>
        <c:lblOffset val="100"/>
        <c:baseTimeUnit val="months"/>
      </c:dateAx>
      <c:valAx>
        <c:axId val="3600068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00059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0">
                <a:solidFill>
                  <a:schemeClr val="accent6"/>
                </a:solidFill>
              </a:rPr>
              <a:t>5-Year</a:t>
            </a:r>
            <a:r>
              <a:rPr lang="en-IN" b="0" baseline="0">
                <a:solidFill>
                  <a:schemeClr val="accent6"/>
                </a:solidFill>
              </a:rPr>
              <a:t> Rolling </a:t>
            </a:r>
            <a:r>
              <a:rPr lang="en-IN" b="0">
                <a:solidFill>
                  <a:schemeClr val="accent6"/>
                </a:solidFill>
              </a:rPr>
              <a:t>Beta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'[Diana SC.xlsx]Beta'!$B$1</c:f>
              <c:strCache>
                <c:ptCount val="1"/>
                <c:pt idx="0">
                  <c:v>Beta</c:v>
                </c:pt>
              </c:strCache>
            </c:strRef>
          </c:tx>
          <c:spPr>
            <a:ln w="28575" cap="rnd">
              <a:solidFill>
                <a:schemeClr val="accent1"/>
              </a:solidFill>
              <a:round/>
            </a:ln>
            <a:effectLst/>
          </c:spPr>
          <c:marker>
            <c:symbol val="none"/>
          </c:marker>
          <c:cat>
            <c:numRef>
              <c:f>'[Diana SC.xlsx]Beta'!$A$2:$A$154</c:f>
              <c:numCache>
                <c:formatCode>m/d/yyyy</c:formatCode>
                <c:ptCount val="153"/>
                <c:pt idx="0">
                  <c:v>40269</c:v>
                </c:pt>
                <c:pt idx="1">
                  <c:v>40299</c:v>
                </c:pt>
                <c:pt idx="2">
                  <c:v>40330</c:v>
                </c:pt>
                <c:pt idx="3">
                  <c:v>40360</c:v>
                </c:pt>
                <c:pt idx="4">
                  <c:v>40391</c:v>
                </c:pt>
                <c:pt idx="5">
                  <c:v>40422</c:v>
                </c:pt>
                <c:pt idx="6">
                  <c:v>40452</c:v>
                </c:pt>
                <c:pt idx="7">
                  <c:v>40483</c:v>
                </c:pt>
                <c:pt idx="8">
                  <c:v>40513</c:v>
                </c:pt>
                <c:pt idx="9">
                  <c:v>40544</c:v>
                </c:pt>
                <c:pt idx="10">
                  <c:v>40575</c:v>
                </c:pt>
                <c:pt idx="11">
                  <c:v>40603</c:v>
                </c:pt>
                <c:pt idx="12">
                  <c:v>40634</c:v>
                </c:pt>
                <c:pt idx="13">
                  <c:v>40664</c:v>
                </c:pt>
                <c:pt idx="14">
                  <c:v>40695</c:v>
                </c:pt>
                <c:pt idx="15">
                  <c:v>40725</c:v>
                </c:pt>
                <c:pt idx="16">
                  <c:v>40756</c:v>
                </c:pt>
                <c:pt idx="17">
                  <c:v>40787</c:v>
                </c:pt>
                <c:pt idx="18">
                  <c:v>40817</c:v>
                </c:pt>
                <c:pt idx="19">
                  <c:v>40848</c:v>
                </c:pt>
                <c:pt idx="20">
                  <c:v>40878</c:v>
                </c:pt>
                <c:pt idx="21">
                  <c:v>40909</c:v>
                </c:pt>
                <c:pt idx="22">
                  <c:v>40940</c:v>
                </c:pt>
                <c:pt idx="23">
                  <c:v>40969</c:v>
                </c:pt>
                <c:pt idx="24">
                  <c:v>41000</c:v>
                </c:pt>
                <c:pt idx="25">
                  <c:v>41030</c:v>
                </c:pt>
                <c:pt idx="26">
                  <c:v>41061</c:v>
                </c:pt>
                <c:pt idx="27">
                  <c:v>41091</c:v>
                </c:pt>
                <c:pt idx="28">
                  <c:v>41122</c:v>
                </c:pt>
                <c:pt idx="29">
                  <c:v>41153</c:v>
                </c:pt>
                <c:pt idx="30">
                  <c:v>41183</c:v>
                </c:pt>
                <c:pt idx="31">
                  <c:v>41214</c:v>
                </c:pt>
                <c:pt idx="32">
                  <c:v>41244</c:v>
                </c:pt>
                <c:pt idx="33">
                  <c:v>41275</c:v>
                </c:pt>
                <c:pt idx="34">
                  <c:v>41306</c:v>
                </c:pt>
                <c:pt idx="35">
                  <c:v>41334</c:v>
                </c:pt>
                <c:pt idx="36">
                  <c:v>41365</c:v>
                </c:pt>
                <c:pt idx="37">
                  <c:v>41395</c:v>
                </c:pt>
                <c:pt idx="38">
                  <c:v>41426</c:v>
                </c:pt>
                <c:pt idx="39">
                  <c:v>41456</c:v>
                </c:pt>
                <c:pt idx="40">
                  <c:v>41487</c:v>
                </c:pt>
                <c:pt idx="41">
                  <c:v>41518</c:v>
                </c:pt>
                <c:pt idx="42">
                  <c:v>41548</c:v>
                </c:pt>
                <c:pt idx="43">
                  <c:v>41579</c:v>
                </c:pt>
                <c:pt idx="44">
                  <c:v>41609</c:v>
                </c:pt>
                <c:pt idx="45">
                  <c:v>41640</c:v>
                </c:pt>
                <c:pt idx="46">
                  <c:v>41671</c:v>
                </c:pt>
                <c:pt idx="47">
                  <c:v>41699</c:v>
                </c:pt>
                <c:pt idx="48">
                  <c:v>41730</c:v>
                </c:pt>
                <c:pt idx="49">
                  <c:v>41760</c:v>
                </c:pt>
                <c:pt idx="50">
                  <c:v>41791</c:v>
                </c:pt>
                <c:pt idx="51">
                  <c:v>41821</c:v>
                </c:pt>
                <c:pt idx="52">
                  <c:v>41852</c:v>
                </c:pt>
                <c:pt idx="53">
                  <c:v>41883</c:v>
                </c:pt>
                <c:pt idx="54">
                  <c:v>41913</c:v>
                </c:pt>
                <c:pt idx="55">
                  <c:v>41944</c:v>
                </c:pt>
                <c:pt idx="56">
                  <c:v>41974</c:v>
                </c:pt>
                <c:pt idx="57">
                  <c:v>42005</c:v>
                </c:pt>
                <c:pt idx="58">
                  <c:v>42036</c:v>
                </c:pt>
                <c:pt idx="59">
                  <c:v>42064</c:v>
                </c:pt>
                <c:pt idx="60">
                  <c:v>42095</c:v>
                </c:pt>
                <c:pt idx="61">
                  <c:v>42125</c:v>
                </c:pt>
                <c:pt idx="62">
                  <c:v>42156</c:v>
                </c:pt>
                <c:pt idx="63">
                  <c:v>42186</c:v>
                </c:pt>
                <c:pt idx="64">
                  <c:v>42217</c:v>
                </c:pt>
                <c:pt idx="65">
                  <c:v>42248</c:v>
                </c:pt>
                <c:pt idx="66">
                  <c:v>42278</c:v>
                </c:pt>
                <c:pt idx="67">
                  <c:v>42309</c:v>
                </c:pt>
                <c:pt idx="68">
                  <c:v>42339</c:v>
                </c:pt>
                <c:pt idx="69">
                  <c:v>42370</c:v>
                </c:pt>
                <c:pt idx="70">
                  <c:v>42401</c:v>
                </c:pt>
                <c:pt idx="71">
                  <c:v>42430</c:v>
                </c:pt>
                <c:pt idx="72">
                  <c:v>42461</c:v>
                </c:pt>
                <c:pt idx="73">
                  <c:v>42491</c:v>
                </c:pt>
                <c:pt idx="74">
                  <c:v>42522</c:v>
                </c:pt>
                <c:pt idx="75">
                  <c:v>42552</c:v>
                </c:pt>
                <c:pt idx="76">
                  <c:v>42583</c:v>
                </c:pt>
                <c:pt idx="77">
                  <c:v>42614</c:v>
                </c:pt>
                <c:pt idx="78">
                  <c:v>42644</c:v>
                </c:pt>
                <c:pt idx="79">
                  <c:v>42675</c:v>
                </c:pt>
                <c:pt idx="80">
                  <c:v>42705</c:v>
                </c:pt>
                <c:pt idx="81">
                  <c:v>42736</c:v>
                </c:pt>
                <c:pt idx="82">
                  <c:v>42767</c:v>
                </c:pt>
                <c:pt idx="83">
                  <c:v>42795</c:v>
                </c:pt>
                <c:pt idx="84">
                  <c:v>42826</c:v>
                </c:pt>
                <c:pt idx="85">
                  <c:v>42856</c:v>
                </c:pt>
                <c:pt idx="86">
                  <c:v>42887</c:v>
                </c:pt>
                <c:pt idx="87">
                  <c:v>42917</c:v>
                </c:pt>
                <c:pt idx="88">
                  <c:v>42948</c:v>
                </c:pt>
                <c:pt idx="89">
                  <c:v>42979</c:v>
                </c:pt>
                <c:pt idx="90">
                  <c:v>43009</c:v>
                </c:pt>
                <c:pt idx="91">
                  <c:v>43040</c:v>
                </c:pt>
                <c:pt idx="92">
                  <c:v>43070</c:v>
                </c:pt>
                <c:pt idx="93">
                  <c:v>43101</c:v>
                </c:pt>
                <c:pt idx="94">
                  <c:v>43132</c:v>
                </c:pt>
                <c:pt idx="95">
                  <c:v>43160</c:v>
                </c:pt>
                <c:pt idx="96">
                  <c:v>43191</c:v>
                </c:pt>
                <c:pt idx="97">
                  <c:v>43221</c:v>
                </c:pt>
                <c:pt idx="98">
                  <c:v>43252</c:v>
                </c:pt>
                <c:pt idx="99">
                  <c:v>43282</c:v>
                </c:pt>
                <c:pt idx="100">
                  <c:v>43313</c:v>
                </c:pt>
                <c:pt idx="101">
                  <c:v>43344</c:v>
                </c:pt>
                <c:pt idx="102">
                  <c:v>43374</c:v>
                </c:pt>
                <c:pt idx="103">
                  <c:v>43405</c:v>
                </c:pt>
                <c:pt idx="104">
                  <c:v>43435</c:v>
                </c:pt>
                <c:pt idx="105">
                  <c:v>43466</c:v>
                </c:pt>
                <c:pt idx="106">
                  <c:v>43497</c:v>
                </c:pt>
                <c:pt idx="107">
                  <c:v>43525</c:v>
                </c:pt>
                <c:pt idx="108">
                  <c:v>43556</c:v>
                </c:pt>
                <c:pt idx="109">
                  <c:v>43586</c:v>
                </c:pt>
                <c:pt idx="110">
                  <c:v>43617</c:v>
                </c:pt>
                <c:pt idx="111">
                  <c:v>43647</c:v>
                </c:pt>
                <c:pt idx="112">
                  <c:v>43678</c:v>
                </c:pt>
                <c:pt idx="113">
                  <c:v>43709</c:v>
                </c:pt>
                <c:pt idx="114">
                  <c:v>43739</c:v>
                </c:pt>
                <c:pt idx="115">
                  <c:v>43770</c:v>
                </c:pt>
                <c:pt idx="116">
                  <c:v>43800</c:v>
                </c:pt>
                <c:pt idx="117">
                  <c:v>43831</c:v>
                </c:pt>
                <c:pt idx="118">
                  <c:v>43862</c:v>
                </c:pt>
                <c:pt idx="119">
                  <c:v>43891</c:v>
                </c:pt>
                <c:pt idx="120">
                  <c:v>43922</c:v>
                </c:pt>
                <c:pt idx="121">
                  <c:v>43952</c:v>
                </c:pt>
                <c:pt idx="122">
                  <c:v>43983</c:v>
                </c:pt>
                <c:pt idx="123">
                  <c:v>44013</c:v>
                </c:pt>
                <c:pt idx="124">
                  <c:v>44044</c:v>
                </c:pt>
                <c:pt idx="125">
                  <c:v>44075</c:v>
                </c:pt>
                <c:pt idx="126">
                  <c:v>44105</c:v>
                </c:pt>
                <c:pt idx="127">
                  <c:v>44136</c:v>
                </c:pt>
                <c:pt idx="128">
                  <c:v>44166</c:v>
                </c:pt>
                <c:pt idx="129">
                  <c:v>44197</c:v>
                </c:pt>
                <c:pt idx="130">
                  <c:v>44228</c:v>
                </c:pt>
                <c:pt idx="131">
                  <c:v>44256</c:v>
                </c:pt>
                <c:pt idx="132">
                  <c:v>44287</c:v>
                </c:pt>
                <c:pt idx="133">
                  <c:v>44317</c:v>
                </c:pt>
                <c:pt idx="134">
                  <c:v>44348</c:v>
                </c:pt>
                <c:pt idx="135">
                  <c:v>44378</c:v>
                </c:pt>
                <c:pt idx="136">
                  <c:v>44409</c:v>
                </c:pt>
                <c:pt idx="137">
                  <c:v>44440</c:v>
                </c:pt>
                <c:pt idx="138">
                  <c:v>44470</c:v>
                </c:pt>
                <c:pt idx="139">
                  <c:v>44501</c:v>
                </c:pt>
                <c:pt idx="140">
                  <c:v>44531</c:v>
                </c:pt>
                <c:pt idx="141">
                  <c:v>44562</c:v>
                </c:pt>
                <c:pt idx="142">
                  <c:v>44593</c:v>
                </c:pt>
                <c:pt idx="143">
                  <c:v>44621</c:v>
                </c:pt>
                <c:pt idx="144">
                  <c:v>44652</c:v>
                </c:pt>
                <c:pt idx="145">
                  <c:v>44682</c:v>
                </c:pt>
                <c:pt idx="146">
                  <c:v>44713</c:v>
                </c:pt>
                <c:pt idx="147">
                  <c:v>44743</c:v>
                </c:pt>
                <c:pt idx="148">
                  <c:v>44774</c:v>
                </c:pt>
                <c:pt idx="149">
                  <c:v>44805</c:v>
                </c:pt>
                <c:pt idx="150">
                  <c:v>44835</c:v>
                </c:pt>
                <c:pt idx="151">
                  <c:v>44866</c:v>
                </c:pt>
                <c:pt idx="152">
                  <c:v>44896</c:v>
                </c:pt>
              </c:numCache>
            </c:numRef>
          </c:cat>
          <c:val>
            <c:numRef>
              <c:f>'[Diana SC.xlsx]Beta'!$B$2:$B$154</c:f>
              <c:numCache>
                <c:formatCode>General</c:formatCode>
                <c:ptCount val="153"/>
                <c:pt idx="0">
                  <c:v>1.1157924260618359</c:v>
                </c:pt>
                <c:pt idx="1">
                  <c:v>1.1256352048360074</c:v>
                </c:pt>
                <c:pt idx="2">
                  <c:v>1.1704477089048775</c:v>
                </c:pt>
                <c:pt idx="3">
                  <c:v>1.2455856094998627</c:v>
                </c:pt>
                <c:pt idx="4">
                  <c:v>1.2581825840215135</c:v>
                </c:pt>
                <c:pt idx="5">
                  <c:v>1.214225120742402</c:v>
                </c:pt>
                <c:pt idx="6">
                  <c:v>1.2147805426347387</c:v>
                </c:pt>
                <c:pt idx="7">
                  <c:v>1.237547917070251</c:v>
                </c:pt>
                <c:pt idx="8">
                  <c:v>1.1751353523306602</c:v>
                </c:pt>
                <c:pt idx="9">
                  <c:v>1.2446541258380384</c:v>
                </c:pt>
                <c:pt idx="10">
                  <c:v>1.2443030475876709</c:v>
                </c:pt>
                <c:pt idx="11">
                  <c:v>1.2431547694280991</c:v>
                </c:pt>
                <c:pt idx="12">
                  <c:v>1.2353681033682158</c:v>
                </c:pt>
                <c:pt idx="13">
                  <c:v>1.2263305708164376</c:v>
                </c:pt>
                <c:pt idx="14">
                  <c:v>1.2289947279997466</c:v>
                </c:pt>
                <c:pt idx="15">
                  <c:v>1.2506873446549618</c:v>
                </c:pt>
                <c:pt idx="16">
                  <c:v>1.2273944621168229</c:v>
                </c:pt>
                <c:pt idx="17">
                  <c:v>1.2483801331091318</c:v>
                </c:pt>
                <c:pt idx="18">
                  <c:v>1.1993790341997632</c:v>
                </c:pt>
                <c:pt idx="19">
                  <c:v>1.2017630351228974</c:v>
                </c:pt>
                <c:pt idx="20">
                  <c:v>1.2016596411854696</c:v>
                </c:pt>
                <c:pt idx="21">
                  <c:v>1.2101074698359648</c:v>
                </c:pt>
                <c:pt idx="22">
                  <c:v>1.2232956456204822</c:v>
                </c:pt>
                <c:pt idx="23">
                  <c:v>1.2219519309593008</c:v>
                </c:pt>
                <c:pt idx="24">
                  <c:v>1.2219466008001469</c:v>
                </c:pt>
                <c:pt idx="25">
                  <c:v>1.1963266428993897</c:v>
                </c:pt>
                <c:pt idx="26">
                  <c:v>1.1903995929774103</c:v>
                </c:pt>
                <c:pt idx="27">
                  <c:v>1.2781727041699296</c:v>
                </c:pt>
                <c:pt idx="28">
                  <c:v>1.2790115281630889</c:v>
                </c:pt>
                <c:pt idx="29">
                  <c:v>1.2718008748773451</c:v>
                </c:pt>
                <c:pt idx="30">
                  <c:v>1.2177980276127764</c:v>
                </c:pt>
                <c:pt idx="31">
                  <c:v>1.2007610970833988</c:v>
                </c:pt>
                <c:pt idx="32">
                  <c:v>1.1949850555777821</c:v>
                </c:pt>
                <c:pt idx="33">
                  <c:v>1.2308166766190309</c:v>
                </c:pt>
                <c:pt idx="34">
                  <c:v>1.2350352787231873</c:v>
                </c:pt>
                <c:pt idx="35">
                  <c:v>1.2611414270556274</c:v>
                </c:pt>
                <c:pt idx="36">
                  <c:v>1.2515355026564756</c:v>
                </c:pt>
                <c:pt idx="37">
                  <c:v>1.2409813405505143</c:v>
                </c:pt>
                <c:pt idx="38">
                  <c:v>1.2373953437024321</c:v>
                </c:pt>
                <c:pt idx="39">
                  <c:v>1.2221748050356562</c:v>
                </c:pt>
                <c:pt idx="40">
                  <c:v>1.2079885646253961</c:v>
                </c:pt>
                <c:pt idx="41">
                  <c:v>1.1541516537584817</c:v>
                </c:pt>
                <c:pt idx="42">
                  <c:v>1.2404862312363281</c:v>
                </c:pt>
                <c:pt idx="43">
                  <c:v>1.0445696400872189</c:v>
                </c:pt>
                <c:pt idx="44">
                  <c:v>0.97413765194284174</c:v>
                </c:pt>
                <c:pt idx="45">
                  <c:v>1.0871558084739743</c:v>
                </c:pt>
                <c:pt idx="46">
                  <c:v>1.115096252598796</c:v>
                </c:pt>
                <c:pt idx="47">
                  <c:v>1.1533046176512201</c:v>
                </c:pt>
                <c:pt idx="48">
                  <c:v>1.0091892766723578</c:v>
                </c:pt>
                <c:pt idx="49">
                  <c:v>0.99896217499649154</c:v>
                </c:pt>
                <c:pt idx="50">
                  <c:v>0.98769928839109489</c:v>
                </c:pt>
                <c:pt idx="51">
                  <c:v>1.0073231638849309</c:v>
                </c:pt>
                <c:pt idx="52">
                  <c:v>1.0283451942272899</c:v>
                </c:pt>
                <c:pt idx="53">
                  <c:v>1.0774203630787189</c:v>
                </c:pt>
                <c:pt idx="54">
                  <c:v>1.0831313220373495</c:v>
                </c:pt>
                <c:pt idx="55">
                  <c:v>1.0716525546591782</c:v>
                </c:pt>
                <c:pt idx="56">
                  <c:v>1.1168617785746975</c:v>
                </c:pt>
                <c:pt idx="57">
                  <c:v>1.0967296532401476</c:v>
                </c:pt>
                <c:pt idx="58">
                  <c:v>1.0925619893115168</c:v>
                </c:pt>
                <c:pt idx="59">
                  <c:v>1.0806183162916514</c:v>
                </c:pt>
                <c:pt idx="60">
                  <c:v>1.0710887190962093</c:v>
                </c:pt>
                <c:pt idx="61">
                  <c:v>1.0654486534955527</c:v>
                </c:pt>
                <c:pt idx="62">
                  <c:v>1.0157931839613294</c:v>
                </c:pt>
                <c:pt idx="63">
                  <c:v>0.94803151212595493</c:v>
                </c:pt>
                <c:pt idx="64">
                  <c:v>0.95208213365581273</c:v>
                </c:pt>
                <c:pt idx="65">
                  <c:v>0.97375099591737213</c:v>
                </c:pt>
                <c:pt idx="66">
                  <c:v>0.93762909881120493</c:v>
                </c:pt>
                <c:pt idx="67">
                  <c:v>0.89788445051730359</c:v>
                </c:pt>
                <c:pt idx="68">
                  <c:v>0.99550602611157213</c:v>
                </c:pt>
                <c:pt idx="69">
                  <c:v>1.2212779365423503</c:v>
                </c:pt>
                <c:pt idx="70">
                  <c:v>1.2069997974303341</c:v>
                </c:pt>
                <c:pt idx="71">
                  <c:v>1.2076952265463274</c:v>
                </c:pt>
                <c:pt idx="72">
                  <c:v>1.2369452380101973</c:v>
                </c:pt>
                <c:pt idx="73">
                  <c:v>1.2214614049022239</c:v>
                </c:pt>
                <c:pt idx="74">
                  <c:v>1.2262427021490219</c:v>
                </c:pt>
                <c:pt idx="75">
                  <c:v>1.2230296524219555</c:v>
                </c:pt>
                <c:pt idx="76">
                  <c:v>1.2675476576525333</c:v>
                </c:pt>
                <c:pt idx="77">
                  <c:v>1.2454127909426336</c:v>
                </c:pt>
                <c:pt idx="78">
                  <c:v>1.3025031440193267</c:v>
                </c:pt>
                <c:pt idx="79">
                  <c:v>1.3700981671977386</c:v>
                </c:pt>
                <c:pt idx="80">
                  <c:v>1.369821607744393</c:v>
                </c:pt>
                <c:pt idx="81">
                  <c:v>1.3203980185035891</c:v>
                </c:pt>
                <c:pt idx="82">
                  <c:v>1.3026460015241708</c:v>
                </c:pt>
                <c:pt idx="83">
                  <c:v>1.2847978597726666</c:v>
                </c:pt>
                <c:pt idx="84">
                  <c:v>1.2613817327738319</c:v>
                </c:pt>
                <c:pt idx="85">
                  <c:v>1.3286256634171631</c:v>
                </c:pt>
                <c:pt idx="86">
                  <c:v>1.3531582618700198</c:v>
                </c:pt>
                <c:pt idx="87">
                  <c:v>1.3262908778291691</c:v>
                </c:pt>
                <c:pt idx="88">
                  <c:v>1.3205417173516187</c:v>
                </c:pt>
                <c:pt idx="89">
                  <c:v>1.2504499303217496</c:v>
                </c:pt>
                <c:pt idx="90">
                  <c:v>1.3017844690308586</c:v>
                </c:pt>
                <c:pt idx="91">
                  <c:v>1.3005495011891592</c:v>
                </c:pt>
                <c:pt idx="92">
                  <c:v>1.3052606295929272</c:v>
                </c:pt>
                <c:pt idx="93">
                  <c:v>1.2183010500145559</c:v>
                </c:pt>
                <c:pt idx="94">
                  <c:v>1.1794564966737593</c:v>
                </c:pt>
                <c:pt idx="95">
                  <c:v>1.0946838011314648</c:v>
                </c:pt>
                <c:pt idx="96">
                  <c:v>1.0826185530311949</c:v>
                </c:pt>
                <c:pt idx="97">
                  <c:v>1.1617149003783409</c:v>
                </c:pt>
                <c:pt idx="98">
                  <c:v>1.1603146425976547</c:v>
                </c:pt>
                <c:pt idx="99">
                  <c:v>1.2114972355075102</c:v>
                </c:pt>
                <c:pt idx="100">
                  <c:v>1.2549657076174303</c:v>
                </c:pt>
                <c:pt idx="101">
                  <c:v>1.216196412241872</c:v>
                </c:pt>
                <c:pt idx="102">
                  <c:v>1.1433897191662779</c:v>
                </c:pt>
                <c:pt idx="103">
                  <c:v>1.140675010159496</c:v>
                </c:pt>
                <c:pt idx="104">
                  <c:v>1.0373275522656071</c:v>
                </c:pt>
                <c:pt idx="105">
                  <c:v>0.88300808320227997</c:v>
                </c:pt>
                <c:pt idx="106">
                  <c:v>0.82200705260891749</c:v>
                </c:pt>
                <c:pt idx="107">
                  <c:v>0.7917100458226507</c:v>
                </c:pt>
                <c:pt idx="108">
                  <c:v>0.81358320029484021</c:v>
                </c:pt>
                <c:pt idx="109">
                  <c:v>0.80045461925450334</c:v>
                </c:pt>
                <c:pt idx="110">
                  <c:v>0.84032332054137726</c:v>
                </c:pt>
                <c:pt idx="111">
                  <c:v>0.82119376044185322</c:v>
                </c:pt>
                <c:pt idx="112">
                  <c:v>0.76815282222078241</c:v>
                </c:pt>
                <c:pt idx="113">
                  <c:v>0.7166396559959245</c:v>
                </c:pt>
                <c:pt idx="114">
                  <c:v>0.77104055929319926</c:v>
                </c:pt>
                <c:pt idx="115">
                  <c:v>0.74635677442151493</c:v>
                </c:pt>
                <c:pt idx="116">
                  <c:v>0.74533367172209131</c:v>
                </c:pt>
                <c:pt idx="117">
                  <c:v>0.78936698270947947</c:v>
                </c:pt>
                <c:pt idx="118">
                  <c:v>0.84711799155595036</c:v>
                </c:pt>
                <c:pt idx="119">
                  <c:v>1.009176461163237</c:v>
                </c:pt>
                <c:pt idx="120">
                  <c:v>1.1180523030679608</c:v>
                </c:pt>
                <c:pt idx="121">
                  <c:v>1.0169094258566551</c:v>
                </c:pt>
                <c:pt idx="122">
                  <c:v>1.0288568837328067</c:v>
                </c:pt>
                <c:pt idx="123">
                  <c:v>1.0284935993782509</c:v>
                </c:pt>
                <c:pt idx="124">
                  <c:v>1.0287786894327959</c:v>
                </c:pt>
                <c:pt idx="125">
                  <c:v>1.0317915523710453</c:v>
                </c:pt>
                <c:pt idx="126">
                  <c:v>1.0446576920390376</c:v>
                </c:pt>
                <c:pt idx="127">
                  <c:v>1.1154489973125465</c:v>
                </c:pt>
                <c:pt idx="128">
                  <c:v>1.1383836417963302</c:v>
                </c:pt>
                <c:pt idx="129">
                  <c:v>1.0097373246788839</c:v>
                </c:pt>
                <c:pt idx="130">
                  <c:v>1.0834385919645144</c:v>
                </c:pt>
                <c:pt idx="131">
                  <c:v>1.0912917740502432</c:v>
                </c:pt>
                <c:pt idx="132">
                  <c:v>1.0968922544183133</c:v>
                </c:pt>
                <c:pt idx="133">
                  <c:v>1.0955785612485704</c:v>
                </c:pt>
                <c:pt idx="134">
                  <c:v>1.0936100683638013</c:v>
                </c:pt>
                <c:pt idx="135">
                  <c:v>1.1236545322589744</c:v>
                </c:pt>
                <c:pt idx="136">
                  <c:v>1.1315201116645581</c:v>
                </c:pt>
                <c:pt idx="137">
                  <c:v>1.0987316664211586</c:v>
                </c:pt>
                <c:pt idx="138">
                  <c:v>1.073729575641662</c:v>
                </c:pt>
                <c:pt idx="139">
                  <c:v>1.0266408012295571</c:v>
                </c:pt>
                <c:pt idx="140">
                  <c:v>1.0234325557654151</c:v>
                </c:pt>
                <c:pt idx="141">
                  <c:v>1.0289663493912045</c:v>
                </c:pt>
                <c:pt idx="142">
                  <c:v>1.0355063166219427</c:v>
                </c:pt>
                <c:pt idx="143">
                  <c:v>1.0445257611518801</c:v>
                </c:pt>
                <c:pt idx="144">
                  <c:v>1.0645954670660323</c:v>
                </c:pt>
                <c:pt idx="145">
                  <c:v>1.0496550390752386</c:v>
                </c:pt>
                <c:pt idx="146">
                  <c:v>1.1109871547936516</c:v>
                </c:pt>
                <c:pt idx="147">
                  <c:v>1.1318412086672267</c:v>
                </c:pt>
                <c:pt idx="148">
                  <c:v>1.1492095714970565</c:v>
                </c:pt>
                <c:pt idx="149">
                  <c:v>1.2465510440515748</c:v>
                </c:pt>
                <c:pt idx="150">
                  <c:v>1.2656685694492131</c:v>
                </c:pt>
                <c:pt idx="151">
                  <c:v>1.2572316857938097</c:v>
                </c:pt>
                <c:pt idx="152">
                  <c:v>1.2583721672267854</c:v>
                </c:pt>
              </c:numCache>
            </c:numRef>
          </c:val>
          <c:smooth val="0"/>
          <c:extLst>
            <c:ext xmlns:c16="http://schemas.microsoft.com/office/drawing/2014/chart" uri="{C3380CC4-5D6E-409C-BE32-E72D297353CC}">
              <c16:uniqueId val="{00000000-B1B2-414B-AAF8-F39791F7D3F3}"/>
            </c:ext>
          </c:extLst>
        </c:ser>
        <c:dLbls>
          <c:showLegendKey val="0"/>
          <c:showVal val="0"/>
          <c:showCatName val="0"/>
          <c:showSerName val="0"/>
          <c:showPercent val="0"/>
          <c:showBubbleSize val="0"/>
        </c:dLbls>
        <c:smooth val="0"/>
        <c:axId val="360005999"/>
        <c:axId val="360006831"/>
      </c:lineChart>
      <c:dateAx>
        <c:axId val="360005999"/>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0006831"/>
        <c:crosses val="autoZero"/>
        <c:auto val="1"/>
        <c:lblOffset val="100"/>
        <c:baseTimeUnit val="months"/>
      </c:dateAx>
      <c:valAx>
        <c:axId val="3600068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00059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accent6"/>
                </a:solidFill>
                <a:latin typeface="+mn-lt"/>
                <a:ea typeface="+mn-ea"/>
                <a:cs typeface="+mn-cs"/>
              </a:defRPr>
            </a:pPr>
            <a:r>
              <a:rPr lang="en-GB">
                <a:solidFill>
                  <a:schemeClr val="accent6"/>
                </a:solidFill>
              </a:rPr>
              <a:t>Revenue Growth - Price Dimension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accent6"/>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Pt>
            <c:idx val="10"/>
            <c:invertIfNegative val="0"/>
            <c:bubble3D val="0"/>
            <c:spPr>
              <a:solidFill>
                <a:schemeClr val="accent6"/>
              </a:solidFill>
              <a:ln>
                <a:noFill/>
              </a:ln>
              <a:effectLst/>
            </c:spPr>
            <c:extLst>
              <c:ext xmlns:c16="http://schemas.microsoft.com/office/drawing/2014/chart" uri="{C3380CC4-5D6E-409C-BE32-E72D297353CC}">
                <c16:uniqueId val="{00000001-C431-4A57-9DAE-951C8DDBBFA1}"/>
              </c:ext>
            </c:extLst>
          </c:dPt>
          <c:dPt>
            <c:idx val="11"/>
            <c:invertIfNegative val="0"/>
            <c:bubble3D val="0"/>
            <c:spPr>
              <a:solidFill>
                <a:schemeClr val="accent6"/>
              </a:solidFill>
              <a:ln>
                <a:noFill/>
              </a:ln>
              <a:effectLst/>
            </c:spPr>
            <c:extLst>
              <c:ext xmlns:c16="http://schemas.microsoft.com/office/drawing/2014/chart" uri="{C3380CC4-5D6E-409C-BE32-E72D297353CC}">
                <c16:uniqueId val="{00000003-C431-4A57-9DAE-951C8DDBBFA1}"/>
              </c:ext>
            </c:extLst>
          </c:dPt>
          <c:dPt>
            <c:idx val="12"/>
            <c:invertIfNegative val="0"/>
            <c:bubble3D val="0"/>
            <c:spPr>
              <a:solidFill>
                <a:schemeClr val="accent6"/>
              </a:solidFill>
              <a:ln>
                <a:noFill/>
              </a:ln>
              <a:effectLst/>
            </c:spPr>
            <c:extLst>
              <c:ext xmlns:c16="http://schemas.microsoft.com/office/drawing/2014/chart" uri="{C3380CC4-5D6E-409C-BE32-E72D297353CC}">
                <c16:uniqueId val="{00000005-C431-4A57-9DAE-951C8DDBBFA1}"/>
              </c:ext>
            </c:extLst>
          </c:dPt>
          <c:dPt>
            <c:idx val="13"/>
            <c:invertIfNegative val="0"/>
            <c:bubble3D val="0"/>
            <c:spPr>
              <a:solidFill>
                <a:schemeClr val="accent6"/>
              </a:solidFill>
              <a:ln>
                <a:noFill/>
              </a:ln>
              <a:effectLst/>
            </c:spPr>
            <c:extLst>
              <c:ext xmlns:c16="http://schemas.microsoft.com/office/drawing/2014/chart" uri="{C3380CC4-5D6E-409C-BE32-E72D297353CC}">
                <c16:uniqueId val="{00000007-C431-4A57-9DAE-951C8DDBBFA1}"/>
              </c:ext>
            </c:extLst>
          </c:dPt>
          <c:dPt>
            <c:idx val="14"/>
            <c:invertIfNegative val="0"/>
            <c:bubble3D val="0"/>
            <c:spPr>
              <a:solidFill>
                <a:schemeClr val="accent6"/>
              </a:solidFill>
              <a:ln>
                <a:noFill/>
              </a:ln>
              <a:effectLst/>
            </c:spPr>
            <c:extLst>
              <c:ext xmlns:c16="http://schemas.microsoft.com/office/drawing/2014/chart" uri="{C3380CC4-5D6E-409C-BE32-E72D297353CC}">
                <c16:uniqueId val="{00000009-C431-4A57-9DAE-951C8DDBBFA1}"/>
              </c:ext>
            </c:extLst>
          </c:dPt>
          <c:dPt>
            <c:idx val="15"/>
            <c:invertIfNegative val="0"/>
            <c:bubble3D val="0"/>
            <c:spPr>
              <a:solidFill>
                <a:schemeClr val="accent6"/>
              </a:solidFill>
              <a:ln>
                <a:noFill/>
              </a:ln>
              <a:effectLst/>
            </c:spPr>
            <c:extLst>
              <c:ext xmlns:c16="http://schemas.microsoft.com/office/drawing/2014/chart" uri="{C3380CC4-5D6E-409C-BE32-E72D297353CC}">
                <c16:uniqueId val="{0000000B-C431-4A57-9DAE-951C8DDBBFA1}"/>
              </c:ext>
            </c:extLst>
          </c:dPt>
          <c:cat>
            <c:strRef>
              <c:f>Revenue!$E$28:$T$28</c:f>
              <c:strCache>
                <c:ptCount val="16"/>
                <c:pt idx="0">
                  <c:v>2013</c:v>
                </c:pt>
                <c:pt idx="1">
                  <c:v>2014</c:v>
                </c:pt>
                <c:pt idx="2">
                  <c:v>2015</c:v>
                </c:pt>
                <c:pt idx="3">
                  <c:v>2016</c:v>
                </c:pt>
                <c:pt idx="4">
                  <c:v>2017</c:v>
                </c:pt>
                <c:pt idx="5">
                  <c:v>2018</c:v>
                </c:pt>
                <c:pt idx="6">
                  <c:v>2019</c:v>
                </c:pt>
                <c:pt idx="7">
                  <c:v>2020</c:v>
                </c:pt>
                <c:pt idx="8">
                  <c:v>2021</c:v>
                </c:pt>
                <c:pt idx="9">
                  <c:v>2022 YTD</c:v>
                </c:pt>
                <c:pt idx="10">
                  <c:v>2022E</c:v>
                </c:pt>
                <c:pt idx="11">
                  <c:v>2023E</c:v>
                </c:pt>
                <c:pt idx="12">
                  <c:v>2024E</c:v>
                </c:pt>
                <c:pt idx="13">
                  <c:v>2025E</c:v>
                </c:pt>
                <c:pt idx="14">
                  <c:v>2026E</c:v>
                </c:pt>
                <c:pt idx="15">
                  <c:v>2027E</c:v>
                </c:pt>
              </c:strCache>
            </c:strRef>
          </c:cat>
          <c:val>
            <c:numRef>
              <c:f>Revenue!$E$29:$T$29</c:f>
              <c:numCache>
                <c:formatCode>General</c:formatCode>
                <c:ptCount val="16"/>
                <c:pt idx="0">
                  <c:v>164.45</c:v>
                </c:pt>
                <c:pt idx="1">
                  <c:v>175.58</c:v>
                </c:pt>
                <c:pt idx="2">
                  <c:v>157.71</c:v>
                </c:pt>
                <c:pt idx="3">
                  <c:v>114.3</c:v>
                </c:pt>
                <c:pt idx="4">
                  <c:v>161.9</c:v>
                </c:pt>
                <c:pt idx="5">
                  <c:v>226.19</c:v>
                </c:pt>
                <c:pt idx="6">
                  <c:v>220.73</c:v>
                </c:pt>
                <c:pt idx="7">
                  <c:v>169.73</c:v>
                </c:pt>
                <c:pt idx="8">
                  <c:v>214.2</c:v>
                </c:pt>
                <c:pt idx="9">
                  <c:v>214.27</c:v>
                </c:pt>
                <c:pt idx="10" formatCode="0.00">
                  <c:v>258.29958455843996</c:v>
                </c:pt>
                <c:pt idx="11">
                  <c:v>251.08922231086967</c:v>
                </c:pt>
                <c:pt idx="12">
                  <c:v>191.43415382765934</c:v>
                </c:pt>
                <c:pt idx="13">
                  <c:v>162.43072592237081</c:v>
                </c:pt>
                <c:pt idx="14">
                  <c:v>170.45870212035805</c:v>
                </c:pt>
                <c:pt idx="15">
                  <c:v>175.64405583885932</c:v>
                </c:pt>
              </c:numCache>
            </c:numRef>
          </c:val>
          <c:extLst>
            <c:ext xmlns:c16="http://schemas.microsoft.com/office/drawing/2014/chart" uri="{C3380CC4-5D6E-409C-BE32-E72D297353CC}">
              <c16:uniqueId val="{0000000C-C431-4A57-9DAE-951C8DDBBFA1}"/>
            </c:ext>
          </c:extLst>
        </c:ser>
        <c:dLbls>
          <c:showLegendKey val="0"/>
          <c:showVal val="0"/>
          <c:showCatName val="0"/>
          <c:showSerName val="0"/>
          <c:showPercent val="0"/>
          <c:showBubbleSize val="0"/>
        </c:dLbls>
        <c:gapWidth val="219"/>
        <c:overlap val="-27"/>
        <c:axId val="747265407"/>
        <c:axId val="671078671"/>
      </c:barChart>
      <c:catAx>
        <c:axId val="7472654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1078671"/>
        <c:crosses val="autoZero"/>
        <c:auto val="1"/>
        <c:lblAlgn val="ctr"/>
        <c:lblOffset val="100"/>
        <c:noMultiLvlLbl val="0"/>
      </c:catAx>
      <c:valAx>
        <c:axId val="6710786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72654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solidFill>
                  <a:schemeClr val="accent6"/>
                </a:solidFill>
              </a:rPr>
              <a:t>Historical Fleet Utilization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cat>
            <c:strRef>
              <c:f>Revenue!$D$3:$M$3</c:f>
              <c:strCache>
                <c:ptCount val="10"/>
                <c:pt idx="0">
                  <c:v>2013</c:v>
                </c:pt>
                <c:pt idx="1">
                  <c:v>2014</c:v>
                </c:pt>
                <c:pt idx="2">
                  <c:v>2015</c:v>
                </c:pt>
                <c:pt idx="3">
                  <c:v>2016</c:v>
                </c:pt>
                <c:pt idx="4">
                  <c:v>2017</c:v>
                </c:pt>
                <c:pt idx="5">
                  <c:v>2018</c:v>
                </c:pt>
                <c:pt idx="6">
                  <c:v>2019</c:v>
                </c:pt>
                <c:pt idx="7">
                  <c:v>2020</c:v>
                </c:pt>
                <c:pt idx="8">
                  <c:v>2021</c:v>
                </c:pt>
                <c:pt idx="9">
                  <c:v>2022 YTD</c:v>
                </c:pt>
              </c:strCache>
            </c:strRef>
          </c:cat>
          <c:val>
            <c:numRef>
              <c:f>Revenue!$D$8:$M$8</c:f>
              <c:numCache>
                <c:formatCode>0.00%</c:formatCode>
                <c:ptCount val="10"/>
                <c:pt idx="0">
                  <c:v>0.99161477791614783</c:v>
                </c:pt>
                <c:pt idx="1">
                  <c:v>0.9805183070083493</c:v>
                </c:pt>
                <c:pt idx="2">
                  <c:v>0.97313994090787015</c:v>
                </c:pt>
                <c:pt idx="3">
                  <c:v>0.9912716692932475</c:v>
                </c:pt>
                <c:pt idx="4">
                  <c:v>0.97028281042863451</c:v>
                </c:pt>
                <c:pt idx="5">
                  <c:v>0.98513906185139055</c:v>
                </c:pt>
                <c:pt idx="6">
                  <c:v>0.97235920852359203</c:v>
                </c:pt>
                <c:pt idx="7">
                  <c:v>0.94144507117915655</c:v>
                </c:pt>
                <c:pt idx="8">
                  <c:v>0.98181001571973947</c:v>
                </c:pt>
                <c:pt idx="9">
                  <c:v>0.9906666666666667</c:v>
                </c:pt>
              </c:numCache>
            </c:numRef>
          </c:val>
          <c:smooth val="0"/>
          <c:extLst>
            <c:ext xmlns:c16="http://schemas.microsoft.com/office/drawing/2014/chart" uri="{C3380CC4-5D6E-409C-BE32-E72D297353CC}">
              <c16:uniqueId val="{00000000-DC33-4851-AFEA-1D7F4D8E2EF4}"/>
            </c:ext>
          </c:extLst>
        </c:ser>
        <c:dLbls>
          <c:showLegendKey val="0"/>
          <c:showVal val="0"/>
          <c:showCatName val="0"/>
          <c:showSerName val="0"/>
          <c:showPercent val="0"/>
          <c:showBubbleSize val="0"/>
        </c:dLbls>
        <c:smooth val="0"/>
        <c:axId val="754504111"/>
        <c:axId val="767245151"/>
      </c:lineChart>
      <c:catAx>
        <c:axId val="7545041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7245151"/>
        <c:crosses val="autoZero"/>
        <c:auto val="1"/>
        <c:lblAlgn val="ctr"/>
        <c:lblOffset val="100"/>
        <c:noMultiLvlLbl val="0"/>
      </c:catAx>
      <c:valAx>
        <c:axId val="76724515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45041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accent6"/>
                </a:solidFill>
                <a:latin typeface="+mn-lt"/>
                <a:ea typeface="+mn-ea"/>
                <a:cs typeface="+mn-cs"/>
              </a:defRPr>
            </a:pPr>
            <a:r>
              <a:rPr lang="en-GB">
                <a:solidFill>
                  <a:schemeClr val="accent6"/>
                </a:solidFill>
              </a:rPr>
              <a:t>Diana Shipping Fleet Size </a:t>
            </a:r>
          </a:p>
        </c:rich>
      </c:tx>
      <c:overlay val="0"/>
      <c:spPr>
        <a:solidFill>
          <a:schemeClr val="bg1"/>
        </a:solidFill>
        <a:ln>
          <a:noFill/>
        </a:ln>
        <a:effectLst/>
      </c:spPr>
      <c:txPr>
        <a:bodyPr rot="0" spcFirstLastPara="1" vertOverflow="ellipsis" vert="horz" wrap="square" anchor="ctr" anchorCtr="1"/>
        <a:lstStyle/>
        <a:p>
          <a:pPr>
            <a:defRPr sz="1400" b="0" i="0" u="none" strike="noStrike" kern="1200" spc="0" baseline="0">
              <a:solidFill>
                <a:schemeClr val="accent6"/>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dPt>
            <c:idx val="1"/>
            <c:marker>
              <c:symbol val="none"/>
            </c:marker>
            <c:bubble3D val="0"/>
            <c:spPr>
              <a:ln w="28575" cap="rnd">
                <a:solidFill>
                  <a:schemeClr val="accent1"/>
                </a:solidFill>
                <a:round/>
              </a:ln>
              <a:effectLst/>
            </c:spPr>
            <c:extLst>
              <c:ext xmlns:c16="http://schemas.microsoft.com/office/drawing/2014/chart" uri="{C3380CC4-5D6E-409C-BE32-E72D297353CC}">
                <c16:uniqueId val="{00000001-6C67-B44B-A851-92F9EBE6DED2}"/>
              </c:ext>
            </c:extLst>
          </c:dPt>
          <c:dPt>
            <c:idx val="2"/>
            <c:marker>
              <c:symbol val="none"/>
            </c:marker>
            <c:bubble3D val="0"/>
            <c:spPr>
              <a:ln w="28575" cap="rnd">
                <a:solidFill>
                  <a:schemeClr val="accent1"/>
                </a:solidFill>
                <a:round/>
              </a:ln>
              <a:effectLst/>
            </c:spPr>
            <c:extLst>
              <c:ext xmlns:c16="http://schemas.microsoft.com/office/drawing/2014/chart" uri="{C3380CC4-5D6E-409C-BE32-E72D297353CC}">
                <c16:uniqueId val="{00000003-6C67-B44B-A851-92F9EBE6DED2}"/>
              </c:ext>
            </c:extLst>
          </c:dPt>
          <c:dPt>
            <c:idx val="3"/>
            <c:marker>
              <c:symbol val="none"/>
            </c:marker>
            <c:bubble3D val="0"/>
            <c:spPr>
              <a:ln w="28575" cap="rnd">
                <a:solidFill>
                  <a:schemeClr val="accent1"/>
                </a:solidFill>
                <a:round/>
              </a:ln>
              <a:effectLst/>
            </c:spPr>
            <c:extLst>
              <c:ext xmlns:c16="http://schemas.microsoft.com/office/drawing/2014/chart" uri="{C3380CC4-5D6E-409C-BE32-E72D297353CC}">
                <c16:uniqueId val="{00000005-6C67-B44B-A851-92F9EBE6DED2}"/>
              </c:ext>
            </c:extLst>
          </c:dPt>
          <c:dPt>
            <c:idx val="4"/>
            <c:marker>
              <c:symbol val="none"/>
            </c:marker>
            <c:bubble3D val="0"/>
            <c:spPr>
              <a:ln w="28575" cap="rnd">
                <a:solidFill>
                  <a:schemeClr val="accent1"/>
                </a:solidFill>
                <a:round/>
              </a:ln>
              <a:effectLst/>
            </c:spPr>
            <c:extLst>
              <c:ext xmlns:c16="http://schemas.microsoft.com/office/drawing/2014/chart" uri="{C3380CC4-5D6E-409C-BE32-E72D297353CC}">
                <c16:uniqueId val="{00000007-6C67-B44B-A851-92F9EBE6DED2}"/>
              </c:ext>
            </c:extLst>
          </c:dPt>
          <c:dPt>
            <c:idx val="5"/>
            <c:marker>
              <c:symbol val="none"/>
            </c:marker>
            <c:bubble3D val="0"/>
            <c:spPr>
              <a:ln w="28575" cap="rnd">
                <a:solidFill>
                  <a:schemeClr val="accent1"/>
                </a:solidFill>
                <a:round/>
              </a:ln>
              <a:effectLst/>
            </c:spPr>
            <c:extLst>
              <c:ext xmlns:c16="http://schemas.microsoft.com/office/drawing/2014/chart" uri="{C3380CC4-5D6E-409C-BE32-E72D297353CC}">
                <c16:uniqueId val="{00000009-6C67-B44B-A851-92F9EBE6DED2}"/>
              </c:ext>
            </c:extLst>
          </c:dPt>
          <c:dPt>
            <c:idx val="6"/>
            <c:marker>
              <c:symbol val="none"/>
            </c:marker>
            <c:bubble3D val="0"/>
            <c:spPr>
              <a:ln w="28575" cap="rnd">
                <a:solidFill>
                  <a:schemeClr val="accent1"/>
                </a:solidFill>
                <a:round/>
              </a:ln>
              <a:effectLst/>
            </c:spPr>
            <c:extLst>
              <c:ext xmlns:c16="http://schemas.microsoft.com/office/drawing/2014/chart" uri="{C3380CC4-5D6E-409C-BE32-E72D297353CC}">
                <c16:uniqueId val="{0000000B-6C67-B44B-A851-92F9EBE6DED2}"/>
              </c:ext>
            </c:extLst>
          </c:dPt>
          <c:dPt>
            <c:idx val="7"/>
            <c:marker>
              <c:symbol val="none"/>
            </c:marker>
            <c:bubble3D val="0"/>
            <c:spPr>
              <a:ln w="28575" cap="rnd">
                <a:solidFill>
                  <a:schemeClr val="accent1"/>
                </a:solidFill>
                <a:round/>
              </a:ln>
              <a:effectLst/>
            </c:spPr>
            <c:extLst>
              <c:ext xmlns:c16="http://schemas.microsoft.com/office/drawing/2014/chart" uri="{C3380CC4-5D6E-409C-BE32-E72D297353CC}">
                <c16:uniqueId val="{0000000D-6C67-B44B-A851-92F9EBE6DED2}"/>
              </c:ext>
            </c:extLst>
          </c:dPt>
          <c:dPt>
            <c:idx val="8"/>
            <c:marker>
              <c:symbol val="none"/>
            </c:marker>
            <c:bubble3D val="0"/>
            <c:spPr>
              <a:ln w="28575" cap="rnd">
                <a:solidFill>
                  <a:schemeClr val="accent1"/>
                </a:solidFill>
                <a:round/>
              </a:ln>
              <a:effectLst/>
            </c:spPr>
            <c:extLst>
              <c:ext xmlns:c16="http://schemas.microsoft.com/office/drawing/2014/chart" uri="{C3380CC4-5D6E-409C-BE32-E72D297353CC}">
                <c16:uniqueId val="{0000000F-6C67-B44B-A851-92F9EBE6DED2}"/>
              </c:ext>
            </c:extLst>
          </c:dPt>
          <c:dPt>
            <c:idx val="9"/>
            <c:marker>
              <c:symbol val="none"/>
            </c:marker>
            <c:bubble3D val="0"/>
            <c:spPr>
              <a:ln w="28575" cap="rnd">
                <a:solidFill>
                  <a:schemeClr val="accent1"/>
                </a:solidFill>
                <a:round/>
              </a:ln>
              <a:effectLst/>
            </c:spPr>
            <c:extLst>
              <c:ext xmlns:c16="http://schemas.microsoft.com/office/drawing/2014/chart" uri="{C3380CC4-5D6E-409C-BE32-E72D297353CC}">
                <c16:uniqueId val="{00000011-6C67-B44B-A851-92F9EBE6DED2}"/>
              </c:ext>
            </c:extLst>
          </c:dPt>
          <c:dPt>
            <c:idx val="10"/>
            <c:marker>
              <c:symbol val="none"/>
            </c:marker>
            <c:bubble3D val="0"/>
            <c:spPr>
              <a:ln w="28575" cap="rnd">
                <a:solidFill>
                  <a:schemeClr val="accent1"/>
                </a:solidFill>
                <a:prstDash val="solid"/>
                <a:round/>
              </a:ln>
              <a:effectLst/>
            </c:spPr>
            <c:extLst>
              <c:ext xmlns:c16="http://schemas.microsoft.com/office/drawing/2014/chart" uri="{C3380CC4-5D6E-409C-BE32-E72D297353CC}">
                <c16:uniqueId val="{00000013-6C67-B44B-A851-92F9EBE6DED2}"/>
              </c:ext>
            </c:extLst>
          </c:dPt>
          <c:dPt>
            <c:idx val="11"/>
            <c:marker>
              <c:symbol val="none"/>
            </c:marker>
            <c:bubble3D val="0"/>
            <c:spPr>
              <a:ln w="28575" cap="rnd">
                <a:solidFill>
                  <a:schemeClr val="accent1"/>
                </a:solidFill>
                <a:prstDash val="sysDot"/>
                <a:round/>
              </a:ln>
              <a:effectLst/>
            </c:spPr>
            <c:extLst>
              <c:ext xmlns:c16="http://schemas.microsoft.com/office/drawing/2014/chart" uri="{C3380CC4-5D6E-409C-BE32-E72D297353CC}">
                <c16:uniqueId val="{00000015-6C67-B44B-A851-92F9EBE6DED2}"/>
              </c:ext>
            </c:extLst>
          </c:dPt>
          <c:dPt>
            <c:idx val="12"/>
            <c:marker>
              <c:symbol val="none"/>
            </c:marker>
            <c:bubble3D val="0"/>
            <c:spPr>
              <a:ln w="28575" cap="rnd">
                <a:solidFill>
                  <a:schemeClr val="accent1"/>
                </a:solidFill>
                <a:prstDash val="sysDot"/>
                <a:round/>
              </a:ln>
              <a:effectLst/>
            </c:spPr>
            <c:extLst>
              <c:ext xmlns:c16="http://schemas.microsoft.com/office/drawing/2014/chart" uri="{C3380CC4-5D6E-409C-BE32-E72D297353CC}">
                <c16:uniqueId val="{00000017-6C67-B44B-A851-92F9EBE6DED2}"/>
              </c:ext>
            </c:extLst>
          </c:dPt>
          <c:dPt>
            <c:idx val="13"/>
            <c:marker>
              <c:symbol val="none"/>
            </c:marker>
            <c:bubble3D val="0"/>
            <c:spPr>
              <a:ln w="28575" cap="rnd">
                <a:solidFill>
                  <a:schemeClr val="accent1"/>
                </a:solidFill>
                <a:prstDash val="sysDot"/>
                <a:round/>
              </a:ln>
              <a:effectLst/>
            </c:spPr>
            <c:extLst>
              <c:ext xmlns:c16="http://schemas.microsoft.com/office/drawing/2014/chart" uri="{C3380CC4-5D6E-409C-BE32-E72D297353CC}">
                <c16:uniqueId val="{00000019-6C67-B44B-A851-92F9EBE6DED2}"/>
              </c:ext>
            </c:extLst>
          </c:dPt>
          <c:dPt>
            <c:idx val="14"/>
            <c:marker>
              <c:symbol val="none"/>
            </c:marker>
            <c:bubble3D val="0"/>
            <c:spPr>
              <a:ln w="28575" cap="rnd">
                <a:solidFill>
                  <a:schemeClr val="accent1"/>
                </a:solidFill>
                <a:prstDash val="sysDot"/>
                <a:round/>
              </a:ln>
              <a:effectLst/>
            </c:spPr>
            <c:extLst>
              <c:ext xmlns:c16="http://schemas.microsoft.com/office/drawing/2014/chart" uri="{C3380CC4-5D6E-409C-BE32-E72D297353CC}">
                <c16:uniqueId val="{0000001B-6C67-B44B-A851-92F9EBE6DED2}"/>
              </c:ext>
            </c:extLst>
          </c:dPt>
          <c:dPt>
            <c:idx val="15"/>
            <c:marker>
              <c:symbol val="none"/>
            </c:marker>
            <c:bubble3D val="0"/>
            <c:spPr>
              <a:ln w="28575" cap="rnd">
                <a:solidFill>
                  <a:schemeClr val="accent1"/>
                </a:solidFill>
                <a:prstDash val="sysDot"/>
                <a:round/>
              </a:ln>
              <a:effectLst/>
            </c:spPr>
            <c:extLst>
              <c:ext xmlns:c16="http://schemas.microsoft.com/office/drawing/2014/chart" uri="{C3380CC4-5D6E-409C-BE32-E72D297353CC}">
                <c16:uniqueId val="{0000001D-6C67-B44B-A851-92F9EBE6DED2}"/>
              </c:ext>
            </c:extLst>
          </c:dPt>
          <c:cat>
            <c:strRef>
              <c:f>Revenue!$D$3:$S$3</c:f>
              <c:strCache>
                <c:ptCount val="16"/>
                <c:pt idx="0">
                  <c:v>2013</c:v>
                </c:pt>
                <c:pt idx="1">
                  <c:v>2014</c:v>
                </c:pt>
                <c:pt idx="2">
                  <c:v>2015</c:v>
                </c:pt>
                <c:pt idx="3">
                  <c:v>2016</c:v>
                </c:pt>
                <c:pt idx="4">
                  <c:v>2017</c:v>
                </c:pt>
                <c:pt idx="5">
                  <c:v>2018</c:v>
                </c:pt>
                <c:pt idx="6">
                  <c:v>2019</c:v>
                </c:pt>
                <c:pt idx="7">
                  <c:v>2020</c:v>
                </c:pt>
                <c:pt idx="8">
                  <c:v>2021</c:v>
                </c:pt>
                <c:pt idx="9">
                  <c:v>2022 YTD</c:v>
                </c:pt>
                <c:pt idx="10">
                  <c:v>2022E</c:v>
                </c:pt>
                <c:pt idx="11">
                  <c:v>2023E</c:v>
                </c:pt>
                <c:pt idx="12">
                  <c:v>2024E</c:v>
                </c:pt>
                <c:pt idx="13">
                  <c:v>2025E</c:v>
                </c:pt>
                <c:pt idx="14">
                  <c:v>2026E</c:v>
                </c:pt>
                <c:pt idx="15">
                  <c:v>2027E</c:v>
                </c:pt>
              </c:strCache>
            </c:strRef>
          </c:cat>
          <c:val>
            <c:numRef>
              <c:f>Revenue!$D$5:$S$5</c:f>
              <c:numCache>
                <c:formatCode>General</c:formatCode>
                <c:ptCount val="16"/>
                <c:pt idx="0">
                  <c:v>33</c:v>
                </c:pt>
                <c:pt idx="1">
                  <c:v>37.9</c:v>
                </c:pt>
                <c:pt idx="2">
                  <c:v>40.799999999999997</c:v>
                </c:pt>
                <c:pt idx="3">
                  <c:v>45.2</c:v>
                </c:pt>
                <c:pt idx="4">
                  <c:v>49.6</c:v>
                </c:pt>
                <c:pt idx="5">
                  <c:v>49.5</c:v>
                </c:pt>
                <c:pt idx="6">
                  <c:v>45</c:v>
                </c:pt>
                <c:pt idx="7">
                  <c:v>40.799999999999997</c:v>
                </c:pt>
                <c:pt idx="8">
                  <c:v>36.6</c:v>
                </c:pt>
                <c:pt idx="9">
                  <c:v>34.9</c:v>
                </c:pt>
                <c:pt idx="10">
                  <c:v>36.924999999999997</c:v>
                </c:pt>
                <c:pt idx="11">
                  <c:v>43</c:v>
                </c:pt>
                <c:pt idx="12">
                  <c:v>46</c:v>
                </c:pt>
                <c:pt idx="13">
                  <c:v>48</c:v>
                </c:pt>
                <c:pt idx="14">
                  <c:v>49</c:v>
                </c:pt>
                <c:pt idx="15">
                  <c:v>50</c:v>
                </c:pt>
              </c:numCache>
            </c:numRef>
          </c:val>
          <c:smooth val="0"/>
          <c:extLst>
            <c:ext xmlns:c16="http://schemas.microsoft.com/office/drawing/2014/chart" uri="{C3380CC4-5D6E-409C-BE32-E72D297353CC}">
              <c16:uniqueId val="{0000001E-6C67-B44B-A851-92F9EBE6DED2}"/>
            </c:ext>
          </c:extLst>
        </c:ser>
        <c:dLbls>
          <c:showLegendKey val="0"/>
          <c:showVal val="0"/>
          <c:showCatName val="0"/>
          <c:showSerName val="0"/>
          <c:showPercent val="0"/>
          <c:showBubbleSize val="0"/>
        </c:dLbls>
        <c:smooth val="0"/>
        <c:axId val="684792959"/>
        <c:axId val="685368687"/>
      </c:lineChart>
      <c:catAx>
        <c:axId val="6847929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5368687"/>
        <c:crosses val="autoZero"/>
        <c:auto val="1"/>
        <c:lblAlgn val="ctr"/>
        <c:lblOffset val="100"/>
        <c:noMultiLvlLbl val="0"/>
      </c:catAx>
      <c:valAx>
        <c:axId val="6853686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47929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solidFill>
                  <a:schemeClr val="accent6"/>
                </a:solidFill>
              </a:rPr>
              <a:t>Revenue Forecasts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Pt>
            <c:idx val="11"/>
            <c:invertIfNegative val="0"/>
            <c:bubble3D val="0"/>
            <c:spPr>
              <a:solidFill>
                <a:schemeClr val="accent6"/>
              </a:solidFill>
              <a:ln>
                <a:noFill/>
              </a:ln>
              <a:effectLst/>
            </c:spPr>
            <c:extLst>
              <c:ext xmlns:c16="http://schemas.microsoft.com/office/drawing/2014/chart" uri="{C3380CC4-5D6E-409C-BE32-E72D297353CC}">
                <c16:uniqueId val="{00000001-9FF1-4554-92D0-B81F12CFE1C9}"/>
              </c:ext>
            </c:extLst>
          </c:dPt>
          <c:dPt>
            <c:idx val="12"/>
            <c:invertIfNegative val="0"/>
            <c:bubble3D val="0"/>
            <c:spPr>
              <a:solidFill>
                <a:schemeClr val="accent6"/>
              </a:solidFill>
              <a:ln>
                <a:noFill/>
              </a:ln>
              <a:effectLst/>
            </c:spPr>
            <c:extLst>
              <c:ext xmlns:c16="http://schemas.microsoft.com/office/drawing/2014/chart" uri="{C3380CC4-5D6E-409C-BE32-E72D297353CC}">
                <c16:uniqueId val="{00000003-9FF1-4554-92D0-B81F12CFE1C9}"/>
              </c:ext>
            </c:extLst>
          </c:dPt>
          <c:dPt>
            <c:idx val="13"/>
            <c:invertIfNegative val="0"/>
            <c:bubble3D val="0"/>
            <c:spPr>
              <a:solidFill>
                <a:schemeClr val="accent6"/>
              </a:solidFill>
              <a:ln>
                <a:noFill/>
              </a:ln>
              <a:effectLst/>
            </c:spPr>
            <c:extLst>
              <c:ext xmlns:c16="http://schemas.microsoft.com/office/drawing/2014/chart" uri="{C3380CC4-5D6E-409C-BE32-E72D297353CC}">
                <c16:uniqueId val="{00000005-9FF1-4554-92D0-B81F12CFE1C9}"/>
              </c:ext>
            </c:extLst>
          </c:dPt>
          <c:dPt>
            <c:idx val="14"/>
            <c:invertIfNegative val="0"/>
            <c:bubble3D val="0"/>
            <c:spPr>
              <a:solidFill>
                <a:schemeClr val="accent6"/>
              </a:solidFill>
              <a:ln>
                <a:noFill/>
              </a:ln>
              <a:effectLst/>
            </c:spPr>
            <c:extLst>
              <c:ext xmlns:c16="http://schemas.microsoft.com/office/drawing/2014/chart" uri="{C3380CC4-5D6E-409C-BE32-E72D297353CC}">
                <c16:uniqueId val="{00000007-9FF1-4554-92D0-B81F12CFE1C9}"/>
              </c:ext>
            </c:extLst>
          </c:dPt>
          <c:dPt>
            <c:idx val="15"/>
            <c:invertIfNegative val="0"/>
            <c:bubble3D val="0"/>
            <c:spPr>
              <a:solidFill>
                <a:schemeClr val="accent6"/>
              </a:solidFill>
              <a:ln>
                <a:noFill/>
              </a:ln>
              <a:effectLst/>
            </c:spPr>
            <c:extLst>
              <c:ext xmlns:c16="http://schemas.microsoft.com/office/drawing/2014/chart" uri="{C3380CC4-5D6E-409C-BE32-E72D297353CC}">
                <c16:uniqueId val="{00000009-9FF1-4554-92D0-B81F12CFE1C9}"/>
              </c:ext>
            </c:extLst>
          </c:dPt>
          <c:cat>
            <c:strRef>
              <c:f>Revenue!$D$3:$S$3</c:f>
              <c:strCache>
                <c:ptCount val="16"/>
                <c:pt idx="0">
                  <c:v>2013</c:v>
                </c:pt>
                <c:pt idx="1">
                  <c:v>2014</c:v>
                </c:pt>
                <c:pt idx="2">
                  <c:v>2015</c:v>
                </c:pt>
                <c:pt idx="3">
                  <c:v>2016</c:v>
                </c:pt>
                <c:pt idx="4">
                  <c:v>2017</c:v>
                </c:pt>
                <c:pt idx="5">
                  <c:v>2018</c:v>
                </c:pt>
                <c:pt idx="6">
                  <c:v>2019</c:v>
                </c:pt>
                <c:pt idx="7">
                  <c:v>2020</c:v>
                </c:pt>
                <c:pt idx="8">
                  <c:v>2021</c:v>
                </c:pt>
                <c:pt idx="9">
                  <c:v>2022 YTD</c:v>
                </c:pt>
                <c:pt idx="10">
                  <c:v>2022E</c:v>
                </c:pt>
                <c:pt idx="11">
                  <c:v>2023E</c:v>
                </c:pt>
                <c:pt idx="12">
                  <c:v>2024E</c:v>
                </c:pt>
                <c:pt idx="13">
                  <c:v>2025E</c:v>
                </c:pt>
                <c:pt idx="14">
                  <c:v>2026E</c:v>
                </c:pt>
                <c:pt idx="15">
                  <c:v>2027E</c:v>
                </c:pt>
              </c:strCache>
            </c:strRef>
          </c:cat>
          <c:val>
            <c:numRef>
              <c:f>Revenue!$D$4:$S$4</c:f>
              <c:numCache>
                <c:formatCode>0.00</c:formatCode>
                <c:ptCount val="16"/>
                <c:pt idx="0">
                  <c:v>164.45</c:v>
                </c:pt>
                <c:pt idx="1">
                  <c:v>175.58</c:v>
                </c:pt>
                <c:pt idx="2">
                  <c:v>157.71</c:v>
                </c:pt>
                <c:pt idx="3">
                  <c:v>114.3</c:v>
                </c:pt>
                <c:pt idx="4">
                  <c:v>161.9</c:v>
                </c:pt>
                <c:pt idx="5">
                  <c:v>226.19</c:v>
                </c:pt>
                <c:pt idx="6">
                  <c:v>220.73</c:v>
                </c:pt>
                <c:pt idx="7">
                  <c:v>169.73</c:v>
                </c:pt>
                <c:pt idx="8">
                  <c:v>214.2</c:v>
                </c:pt>
                <c:pt idx="9">
                  <c:v>214.27</c:v>
                </c:pt>
                <c:pt idx="10">
                  <c:v>258.29958455843996</c:v>
                </c:pt>
                <c:pt idx="11" formatCode="General">
                  <c:v>272.04763871001745</c:v>
                </c:pt>
                <c:pt idx="12" formatCode="General">
                  <c:v>238.48262900669818</c:v>
                </c:pt>
                <c:pt idx="13" formatCode="General">
                  <c:v>254.53719664094945</c:v>
                </c:pt>
                <c:pt idx="14" formatCode="General">
                  <c:v>272.68238977789275</c:v>
                </c:pt>
                <c:pt idx="15" formatCode="General">
                  <c:v>286.71162048462884</c:v>
                </c:pt>
              </c:numCache>
            </c:numRef>
          </c:val>
          <c:extLst>
            <c:ext xmlns:c16="http://schemas.microsoft.com/office/drawing/2014/chart" uri="{C3380CC4-5D6E-409C-BE32-E72D297353CC}">
              <c16:uniqueId val="{0000000A-9FF1-4554-92D0-B81F12CFE1C9}"/>
            </c:ext>
          </c:extLst>
        </c:ser>
        <c:dLbls>
          <c:showLegendKey val="0"/>
          <c:showVal val="0"/>
          <c:showCatName val="0"/>
          <c:showSerName val="0"/>
          <c:showPercent val="0"/>
          <c:showBubbleSize val="0"/>
        </c:dLbls>
        <c:gapWidth val="219"/>
        <c:overlap val="-27"/>
        <c:axId val="786850047"/>
        <c:axId val="787111583"/>
      </c:barChart>
      <c:catAx>
        <c:axId val="7868500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7111583"/>
        <c:crosses val="autoZero"/>
        <c:auto val="1"/>
        <c:lblAlgn val="ctr"/>
        <c:lblOffset val="100"/>
        <c:noMultiLvlLbl val="0"/>
      </c:catAx>
      <c:valAx>
        <c:axId val="787111583"/>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685004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solidFill>
                  <a:schemeClr val="accent6"/>
                </a:solidFill>
              </a:rPr>
              <a:t>Revenue Per Ship v COGS Per</a:t>
            </a:r>
            <a:r>
              <a:rPr lang="en-GB" baseline="0">
                <a:solidFill>
                  <a:schemeClr val="accent6"/>
                </a:solidFill>
              </a:rPr>
              <a:t> Ship</a:t>
            </a:r>
            <a:endParaRPr lang="en-GB">
              <a:solidFill>
                <a:schemeClr val="accent6"/>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cat>
            <c:strRef>
              <c:f>'10yr data'!$E$4:$M$4</c:f>
              <c:strCache>
                <c:ptCount val="9"/>
                <c:pt idx="0">
                  <c:v>2014</c:v>
                </c:pt>
                <c:pt idx="1">
                  <c:v>2015</c:v>
                </c:pt>
                <c:pt idx="2">
                  <c:v>2016</c:v>
                </c:pt>
                <c:pt idx="3">
                  <c:v>2017</c:v>
                </c:pt>
                <c:pt idx="4">
                  <c:v>2018</c:v>
                </c:pt>
                <c:pt idx="5">
                  <c:v>2019</c:v>
                </c:pt>
                <c:pt idx="6">
                  <c:v>2020</c:v>
                </c:pt>
                <c:pt idx="7">
                  <c:v>2021</c:v>
                </c:pt>
                <c:pt idx="8">
                  <c:v>2022 YTD</c:v>
                </c:pt>
              </c:strCache>
            </c:strRef>
          </c:cat>
          <c:val>
            <c:numRef>
              <c:f>'10yr data'!$E$17:$M$17</c:f>
              <c:numCache>
                <c:formatCode>0.00</c:formatCode>
                <c:ptCount val="9"/>
                <c:pt idx="0">
                  <c:v>2.4210290237467023</c:v>
                </c:pt>
                <c:pt idx="1">
                  <c:v>2.5441421568627449</c:v>
                </c:pt>
                <c:pt idx="2">
                  <c:v>2.2079646017699113</c:v>
                </c:pt>
                <c:pt idx="3">
                  <c:v>1.995483870967742</c:v>
                </c:pt>
                <c:pt idx="4">
                  <c:v>2.0790909090909091</c:v>
                </c:pt>
                <c:pt idx="5">
                  <c:v>2.3142666666666667</c:v>
                </c:pt>
                <c:pt idx="6">
                  <c:v>2.4356127450980392</c:v>
                </c:pt>
                <c:pt idx="7">
                  <c:v>2.1947267759562843</c:v>
                </c:pt>
                <c:pt idx="8">
                  <c:v>2.1624450811843365</c:v>
                </c:pt>
              </c:numCache>
            </c:numRef>
          </c:val>
          <c:smooth val="0"/>
          <c:extLst>
            <c:ext xmlns:c16="http://schemas.microsoft.com/office/drawing/2014/chart" uri="{C3380CC4-5D6E-409C-BE32-E72D297353CC}">
              <c16:uniqueId val="{00000000-CF86-4BAA-877E-820F80A584C9}"/>
            </c:ext>
          </c:extLst>
        </c:ser>
        <c:ser>
          <c:idx val="1"/>
          <c:order val="1"/>
          <c:spPr>
            <a:ln w="28575" cap="rnd">
              <a:solidFill>
                <a:schemeClr val="accent2"/>
              </a:solidFill>
              <a:round/>
            </a:ln>
            <a:effectLst/>
          </c:spPr>
          <c:marker>
            <c:symbol val="none"/>
          </c:marker>
          <c:cat>
            <c:strRef>
              <c:f>'10yr data'!$E$4:$M$4</c:f>
              <c:strCache>
                <c:ptCount val="9"/>
                <c:pt idx="0">
                  <c:v>2014</c:v>
                </c:pt>
                <c:pt idx="1">
                  <c:v>2015</c:v>
                </c:pt>
                <c:pt idx="2">
                  <c:v>2016</c:v>
                </c:pt>
                <c:pt idx="3">
                  <c:v>2017</c:v>
                </c:pt>
                <c:pt idx="4">
                  <c:v>2018</c:v>
                </c:pt>
                <c:pt idx="5">
                  <c:v>2019</c:v>
                </c:pt>
                <c:pt idx="6">
                  <c:v>2020</c:v>
                </c:pt>
                <c:pt idx="7">
                  <c:v>2021</c:v>
                </c:pt>
                <c:pt idx="8">
                  <c:v>2022 YTD</c:v>
                </c:pt>
              </c:strCache>
            </c:strRef>
          </c:cat>
          <c:val>
            <c:numRef>
              <c:f>'10yr data'!$E$19:$M$19</c:f>
              <c:numCache>
                <c:formatCode>0.00</c:formatCode>
                <c:ptCount val="9"/>
                <c:pt idx="0">
                  <c:v>4.632612137203167</c:v>
                </c:pt>
                <c:pt idx="1">
                  <c:v>3.8654901960784316</c:v>
                </c:pt>
                <c:pt idx="2">
                  <c:v>2.5287610619469025</c:v>
                </c:pt>
                <c:pt idx="3">
                  <c:v>3.2640322580645162</c:v>
                </c:pt>
                <c:pt idx="4">
                  <c:v>4.5694747474747475</c:v>
                </c:pt>
                <c:pt idx="5">
                  <c:v>4.9050666666666665</c:v>
                </c:pt>
                <c:pt idx="6">
                  <c:v>4.1601225490196079</c:v>
                </c:pt>
                <c:pt idx="7">
                  <c:v>5.8525409836065574</c:v>
                </c:pt>
                <c:pt idx="8">
                  <c:v>6.1394269340974219</c:v>
                </c:pt>
              </c:numCache>
            </c:numRef>
          </c:val>
          <c:smooth val="0"/>
          <c:extLst>
            <c:ext xmlns:c16="http://schemas.microsoft.com/office/drawing/2014/chart" uri="{C3380CC4-5D6E-409C-BE32-E72D297353CC}">
              <c16:uniqueId val="{00000001-CF86-4BAA-877E-820F80A584C9}"/>
            </c:ext>
          </c:extLst>
        </c:ser>
        <c:dLbls>
          <c:showLegendKey val="0"/>
          <c:showVal val="0"/>
          <c:showCatName val="0"/>
          <c:showSerName val="0"/>
          <c:showPercent val="0"/>
          <c:showBubbleSize val="0"/>
        </c:dLbls>
        <c:smooth val="0"/>
        <c:axId val="711440031"/>
        <c:axId val="711140015"/>
      </c:lineChart>
      <c:catAx>
        <c:axId val="7114400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1140015"/>
        <c:crosses val="autoZero"/>
        <c:auto val="1"/>
        <c:lblAlgn val="ctr"/>
        <c:lblOffset val="100"/>
        <c:noMultiLvlLbl val="0"/>
      </c:catAx>
      <c:valAx>
        <c:axId val="71114001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14400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solidFill>
                  <a:schemeClr val="accent6"/>
                </a:solidFill>
              </a:rPr>
              <a:t>COGS Total</a:t>
            </a:r>
            <a:r>
              <a:rPr lang="en-GB" baseline="0">
                <a:solidFill>
                  <a:schemeClr val="accent6"/>
                </a:solidFill>
              </a:rPr>
              <a:t> Value</a:t>
            </a:r>
            <a:endParaRPr lang="en-GB">
              <a:solidFill>
                <a:schemeClr val="accent6"/>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Pt>
            <c:idx val="8"/>
            <c:invertIfNegative val="0"/>
            <c:bubble3D val="0"/>
            <c:spPr>
              <a:solidFill>
                <a:schemeClr val="accent6"/>
              </a:solidFill>
              <a:ln>
                <a:noFill/>
              </a:ln>
              <a:effectLst/>
            </c:spPr>
            <c:extLst>
              <c:ext xmlns:c16="http://schemas.microsoft.com/office/drawing/2014/chart" uri="{C3380CC4-5D6E-409C-BE32-E72D297353CC}">
                <c16:uniqueId val="{00000001-D9DD-45DD-B7B1-2B12D335B06C}"/>
              </c:ext>
            </c:extLst>
          </c:dPt>
          <c:dPt>
            <c:idx val="9"/>
            <c:invertIfNegative val="0"/>
            <c:bubble3D val="0"/>
            <c:spPr>
              <a:solidFill>
                <a:schemeClr val="accent6"/>
              </a:solidFill>
              <a:ln>
                <a:noFill/>
              </a:ln>
              <a:effectLst/>
            </c:spPr>
            <c:extLst>
              <c:ext xmlns:c16="http://schemas.microsoft.com/office/drawing/2014/chart" uri="{C3380CC4-5D6E-409C-BE32-E72D297353CC}">
                <c16:uniqueId val="{00000003-D9DD-45DD-B7B1-2B12D335B06C}"/>
              </c:ext>
            </c:extLst>
          </c:dPt>
          <c:dPt>
            <c:idx val="10"/>
            <c:invertIfNegative val="0"/>
            <c:bubble3D val="0"/>
            <c:spPr>
              <a:solidFill>
                <a:schemeClr val="accent6"/>
              </a:solidFill>
              <a:ln>
                <a:noFill/>
              </a:ln>
              <a:effectLst/>
            </c:spPr>
            <c:extLst>
              <c:ext xmlns:c16="http://schemas.microsoft.com/office/drawing/2014/chart" uri="{C3380CC4-5D6E-409C-BE32-E72D297353CC}">
                <c16:uniqueId val="{00000005-D9DD-45DD-B7B1-2B12D335B06C}"/>
              </c:ext>
            </c:extLst>
          </c:dPt>
          <c:dPt>
            <c:idx val="11"/>
            <c:invertIfNegative val="0"/>
            <c:bubble3D val="0"/>
            <c:spPr>
              <a:solidFill>
                <a:schemeClr val="accent6"/>
              </a:solidFill>
              <a:ln>
                <a:noFill/>
              </a:ln>
              <a:effectLst/>
            </c:spPr>
            <c:extLst>
              <c:ext xmlns:c16="http://schemas.microsoft.com/office/drawing/2014/chart" uri="{C3380CC4-5D6E-409C-BE32-E72D297353CC}">
                <c16:uniqueId val="{00000007-D9DD-45DD-B7B1-2B12D335B06C}"/>
              </c:ext>
            </c:extLst>
          </c:dPt>
          <c:dPt>
            <c:idx val="12"/>
            <c:invertIfNegative val="0"/>
            <c:bubble3D val="0"/>
            <c:spPr>
              <a:solidFill>
                <a:schemeClr val="accent6"/>
              </a:solidFill>
              <a:ln>
                <a:noFill/>
              </a:ln>
              <a:effectLst/>
            </c:spPr>
            <c:extLst>
              <c:ext xmlns:c16="http://schemas.microsoft.com/office/drawing/2014/chart" uri="{C3380CC4-5D6E-409C-BE32-E72D297353CC}">
                <c16:uniqueId val="{00000009-D9DD-45DD-B7B1-2B12D335B06C}"/>
              </c:ext>
            </c:extLst>
          </c:dPt>
          <c:dPt>
            <c:idx val="13"/>
            <c:invertIfNegative val="0"/>
            <c:bubble3D val="0"/>
            <c:spPr>
              <a:solidFill>
                <a:schemeClr val="accent6"/>
              </a:solidFill>
              <a:ln>
                <a:noFill/>
              </a:ln>
              <a:effectLst/>
            </c:spPr>
            <c:extLst>
              <c:ext xmlns:c16="http://schemas.microsoft.com/office/drawing/2014/chart" uri="{C3380CC4-5D6E-409C-BE32-E72D297353CC}">
                <c16:uniqueId val="{0000000B-D9DD-45DD-B7B1-2B12D335B06C}"/>
              </c:ext>
            </c:extLst>
          </c:dPt>
          <c:cat>
            <c:strRef>
              <c:f>'10yr data'!$F$4:$S$4</c:f>
              <c:strCache>
                <c:ptCount val="14"/>
                <c:pt idx="0">
                  <c:v>2015</c:v>
                </c:pt>
                <c:pt idx="1">
                  <c:v>2016</c:v>
                </c:pt>
                <c:pt idx="2">
                  <c:v>2017</c:v>
                </c:pt>
                <c:pt idx="3">
                  <c:v>2018</c:v>
                </c:pt>
                <c:pt idx="4">
                  <c:v>2019</c:v>
                </c:pt>
                <c:pt idx="5">
                  <c:v>2020</c:v>
                </c:pt>
                <c:pt idx="6">
                  <c:v>2021</c:v>
                </c:pt>
                <c:pt idx="7">
                  <c:v>2022 YTD</c:v>
                </c:pt>
                <c:pt idx="8">
                  <c:v>2022E</c:v>
                </c:pt>
                <c:pt idx="9">
                  <c:v>2023E</c:v>
                </c:pt>
                <c:pt idx="10">
                  <c:v>2024E</c:v>
                </c:pt>
                <c:pt idx="11">
                  <c:v>2025E</c:v>
                </c:pt>
                <c:pt idx="12">
                  <c:v>2026E</c:v>
                </c:pt>
                <c:pt idx="13">
                  <c:v>2027E</c:v>
                </c:pt>
              </c:strCache>
            </c:strRef>
          </c:cat>
          <c:val>
            <c:numRef>
              <c:f>'10yr data'!$F$6:$S$6</c:f>
              <c:numCache>
                <c:formatCode>0.00</c:formatCode>
                <c:ptCount val="14"/>
                <c:pt idx="0">
                  <c:v>103.80099999999999</c:v>
                </c:pt>
                <c:pt idx="1">
                  <c:v>99.8</c:v>
                </c:pt>
                <c:pt idx="2">
                  <c:v>98.976000000000013</c:v>
                </c:pt>
                <c:pt idx="3">
                  <c:v>102.91500000000001</c:v>
                </c:pt>
                <c:pt idx="4">
                  <c:v>104.142</c:v>
                </c:pt>
                <c:pt idx="5">
                  <c:v>99.37299999999999</c:v>
                </c:pt>
                <c:pt idx="6">
                  <c:v>80.327000000000012</c:v>
                </c:pt>
                <c:pt idx="7">
                  <c:v>56.602000000000004</c:v>
                </c:pt>
                <c:pt idx="8" formatCode="General">
                  <c:v>75.469333333333338</c:v>
                </c:pt>
                <c:pt idx="9" formatCode="General">
                  <c:v>99.19553932474652</c:v>
                </c:pt>
                <c:pt idx="10" formatCode="General">
                  <c:v>106.11615834740326</c:v>
                </c:pt>
                <c:pt idx="11" formatCode="General">
                  <c:v>110.72990436250774</c:v>
                </c:pt>
                <c:pt idx="12" formatCode="General">
                  <c:v>113.03677737005998</c:v>
                </c:pt>
                <c:pt idx="13" formatCode="General">
                  <c:v>115.34365037761222</c:v>
                </c:pt>
              </c:numCache>
            </c:numRef>
          </c:val>
          <c:extLst>
            <c:ext xmlns:c16="http://schemas.microsoft.com/office/drawing/2014/chart" uri="{C3380CC4-5D6E-409C-BE32-E72D297353CC}">
              <c16:uniqueId val="{0000000C-D9DD-45DD-B7B1-2B12D335B06C}"/>
            </c:ext>
          </c:extLst>
        </c:ser>
        <c:dLbls>
          <c:showLegendKey val="0"/>
          <c:showVal val="0"/>
          <c:showCatName val="0"/>
          <c:showSerName val="0"/>
          <c:showPercent val="0"/>
          <c:showBubbleSize val="0"/>
        </c:dLbls>
        <c:gapWidth val="219"/>
        <c:overlap val="-27"/>
        <c:axId val="748296383"/>
        <c:axId val="729752767"/>
      </c:barChart>
      <c:catAx>
        <c:axId val="7482963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9752767"/>
        <c:crosses val="autoZero"/>
        <c:auto val="1"/>
        <c:lblAlgn val="ctr"/>
        <c:lblOffset val="100"/>
        <c:noMultiLvlLbl val="0"/>
      </c:catAx>
      <c:valAx>
        <c:axId val="72975276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82963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solidFill>
                  <a:schemeClr val="accent6"/>
                </a:solidFill>
              </a:rPr>
              <a:t>Historical Revenue v SG&amp;A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cat>
            <c:strRef>
              <c:f>'10yr data'!$E$4:$M$4</c:f>
              <c:strCache>
                <c:ptCount val="9"/>
                <c:pt idx="0">
                  <c:v>2014</c:v>
                </c:pt>
                <c:pt idx="1">
                  <c:v>2015</c:v>
                </c:pt>
                <c:pt idx="2">
                  <c:v>2016</c:v>
                </c:pt>
                <c:pt idx="3">
                  <c:v>2017</c:v>
                </c:pt>
                <c:pt idx="4">
                  <c:v>2018</c:v>
                </c:pt>
                <c:pt idx="5">
                  <c:v>2019</c:v>
                </c:pt>
                <c:pt idx="6">
                  <c:v>2020</c:v>
                </c:pt>
                <c:pt idx="7">
                  <c:v>2021</c:v>
                </c:pt>
                <c:pt idx="8">
                  <c:v>2022 YTD</c:v>
                </c:pt>
              </c:strCache>
            </c:strRef>
          </c:cat>
          <c:val>
            <c:numRef>
              <c:f>'10yr data'!$E$8:$M$8</c:f>
              <c:numCache>
                <c:formatCode>0.00</c:formatCode>
                <c:ptCount val="9"/>
                <c:pt idx="0">
                  <c:v>26.216999999999999</c:v>
                </c:pt>
                <c:pt idx="1">
                  <c:v>25.783999999999999</c:v>
                </c:pt>
                <c:pt idx="2">
                  <c:v>25.5</c:v>
                </c:pt>
                <c:pt idx="3">
                  <c:v>37.438000000000002</c:v>
                </c:pt>
                <c:pt idx="4">
                  <c:v>31.369999999999997</c:v>
                </c:pt>
                <c:pt idx="5">
                  <c:v>40.256</c:v>
                </c:pt>
                <c:pt idx="6">
                  <c:v>34.564999999999998</c:v>
                </c:pt>
                <c:pt idx="7">
                  <c:v>31.225999999999999</c:v>
                </c:pt>
                <c:pt idx="8">
                  <c:v>28.014000000000003</c:v>
                </c:pt>
              </c:numCache>
            </c:numRef>
          </c:val>
          <c:smooth val="0"/>
          <c:extLst>
            <c:ext xmlns:c16="http://schemas.microsoft.com/office/drawing/2014/chart" uri="{C3380CC4-5D6E-409C-BE32-E72D297353CC}">
              <c16:uniqueId val="{00000000-376F-184C-883A-4731330C6BE4}"/>
            </c:ext>
          </c:extLst>
        </c:ser>
        <c:ser>
          <c:idx val="1"/>
          <c:order val="1"/>
          <c:spPr>
            <a:ln w="28575" cap="rnd">
              <a:solidFill>
                <a:schemeClr val="accent2"/>
              </a:solidFill>
              <a:round/>
            </a:ln>
            <a:effectLst/>
          </c:spPr>
          <c:marker>
            <c:symbol val="none"/>
          </c:marker>
          <c:cat>
            <c:strRef>
              <c:f>'10yr data'!$E$4:$M$4</c:f>
              <c:strCache>
                <c:ptCount val="9"/>
                <c:pt idx="0">
                  <c:v>2014</c:v>
                </c:pt>
                <c:pt idx="1">
                  <c:v>2015</c:v>
                </c:pt>
                <c:pt idx="2">
                  <c:v>2016</c:v>
                </c:pt>
                <c:pt idx="3">
                  <c:v>2017</c:v>
                </c:pt>
                <c:pt idx="4">
                  <c:v>2018</c:v>
                </c:pt>
                <c:pt idx="5">
                  <c:v>2019</c:v>
                </c:pt>
                <c:pt idx="6">
                  <c:v>2020</c:v>
                </c:pt>
                <c:pt idx="7">
                  <c:v>2021</c:v>
                </c:pt>
                <c:pt idx="8">
                  <c:v>2022 YTD</c:v>
                </c:pt>
              </c:strCache>
            </c:strRef>
          </c:cat>
          <c:val>
            <c:numRef>
              <c:f>'10yr data'!$E$5:$M$5</c:f>
              <c:numCache>
                <c:formatCode>0.00</c:formatCode>
                <c:ptCount val="9"/>
                <c:pt idx="0">
                  <c:v>175.57600000000002</c:v>
                </c:pt>
                <c:pt idx="1">
                  <c:v>157.71199999999999</c:v>
                </c:pt>
                <c:pt idx="2">
                  <c:v>114.3</c:v>
                </c:pt>
                <c:pt idx="3">
                  <c:v>161.89600000000002</c:v>
                </c:pt>
                <c:pt idx="4">
                  <c:v>226.18899999999999</c:v>
                </c:pt>
                <c:pt idx="5">
                  <c:v>220.72800000000001</c:v>
                </c:pt>
                <c:pt idx="6">
                  <c:v>169.733</c:v>
                </c:pt>
                <c:pt idx="7">
                  <c:v>214.203</c:v>
                </c:pt>
                <c:pt idx="8">
                  <c:v>214.26600000000002</c:v>
                </c:pt>
              </c:numCache>
            </c:numRef>
          </c:val>
          <c:smooth val="0"/>
          <c:extLst>
            <c:ext xmlns:c16="http://schemas.microsoft.com/office/drawing/2014/chart" uri="{C3380CC4-5D6E-409C-BE32-E72D297353CC}">
              <c16:uniqueId val="{00000001-376F-184C-883A-4731330C6BE4}"/>
            </c:ext>
          </c:extLst>
        </c:ser>
        <c:dLbls>
          <c:showLegendKey val="0"/>
          <c:showVal val="0"/>
          <c:showCatName val="0"/>
          <c:showSerName val="0"/>
          <c:showPercent val="0"/>
          <c:showBubbleSize val="0"/>
        </c:dLbls>
        <c:smooth val="0"/>
        <c:axId val="701834800"/>
        <c:axId val="701853584"/>
      </c:lineChart>
      <c:catAx>
        <c:axId val="701834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1853584"/>
        <c:crosses val="autoZero"/>
        <c:auto val="1"/>
        <c:lblAlgn val="ctr"/>
        <c:lblOffset val="100"/>
        <c:noMultiLvlLbl val="0"/>
      </c:catAx>
      <c:valAx>
        <c:axId val="7018535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1834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7C577-7D43-465B-B56C-E7C2943C1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17</Pages>
  <Words>3356</Words>
  <Characters>19134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Aherne, Kevin Joseph</dc:creator>
  <cp:keywords/>
  <dc:description/>
  <cp:lastModifiedBy>Aherne, Kevin Joseph</cp:lastModifiedBy>
  <cp:revision>7</cp:revision>
  <cp:lastPrinted>2022-12-05T13:47:00Z</cp:lastPrinted>
  <dcterms:created xsi:type="dcterms:W3CDTF">2022-12-11T22:04:00Z</dcterms:created>
  <dcterms:modified xsi:type="dcterms:W3CDTF">2022-12-12T12:03:00Z</dcterms:modified>
</cp:coreProperties>
</file>